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01C9" w:rsidRDefault="00D301C9" w:rsidP="00D301C9">
      <w:pPr>
        <w:pStyle w:val="Title"/>
        <w:pBdr>
          <w:bottom w:val="threeDEngrave" w:sz="24" w:space="1" w:color="auto"/>
        </w:pBdr>
        <w:jc w:val="center"/>
        <w:rPr>
          <w:rFonts w:ascii="Times New Roman" w:hAnsi="Times New Roman" w:cs="Times New Roman"/>
          <w:b/>
          <w:sz w:val="20"/>
          <w:szCs w:val="20"/>
        </w:rPr>
      </w:pPr>
      <w:r>
        <w:rPr>
          <w:rFonts w:ascii="Times New Roman" w:hAnsi="Times New Roman" w:cs="Times New Roman"/>
          <w:b/>
          <w:sz w:val="20"/>
          <w:szCs w:val="20"/>
        </w:rPr>
        <w:t xml:space="preserve">Kurikulum Departemen Teknik Geofisika </w:t>
      </w:r>
    </w:p>
    <w:p w:rsidR="00D301C9" w:rsidRDefault="00D301C9" w:rsidP="00D301C9">
      <w:pPr>
        <w:pStyle w:val="Title"/>
        <w:pBdr>
          <w:bottom w:val="threeDEngrave" w:sz="24" w:space="1" w:color="auto"/>
        </w:pBdr>
        <w:jc w:val="center"/>
        <w:rPr>
          <w:rFonts w:ascii="Times New Roman" w:hAnsi="Times New Roman" w:cs="Times New Roman"/>
          <w:b/>
          <w:sz w:val="20"/>
          <w:szCs w:val="20"/>
        </w:rPr>
      </w:pPr>
      <w:r>
        <w:rPr>
          <w:rFonts w:ascii="Times New Roman" w:hAnsi="Times New Roman" w:cs="Times New Roman"/>
          <w:b/>
          <w:sz w:val="20"/>
          <w:szCs w:val="20"/>
        </w:rPr>
        <w:t xml:space="preserve">Fakultas Teknik Sipil Lingkungan dan Kebumian-ITS </w:t>
      </w:r>
    </w:p>
    <w:p w:rsidR="00D301C9" w:rsidRDefault="00D301C9" w:rsidP="00D301C9">
      <w:pPr>
        <w:pStyle w:val="Title"/>
        <w:pBdr>
          <w:bottom w:val="threeDEngrave" w:sz="24" w:space="1" w:color="auto"/>
        </w:pBdr>
        <w:jc w:val="center"/>
        <w:rPr>
          <w:rFonts w:ascii="Times New Roman" w:hAnsi="Times New Roman" w:cs="Times New Roman"/>
          <w:b/>
          <w:sz w:val="20"/>
          <w:szCs w:val="20"/>
        </w:rPr>
      </w:pPr>
      <w:r>
        <w:rPr>
          <w:rFonts w:ascii="Times New Roman" w:hAnsi="Times New Roman" w:cs="Times New Roman"/>
          <w:b/>
          <w:sz w:val="20"/>
          <w:szCs w:val="20"/>
        </w:rPr>
        <w:t>Tahun 2018-2022</w:t>
      </w:r>
    </w:p>
    <w:p w:rsidR="00D301C9" w:rsidRDefault="00D301C9" w:rsidP="00D301C9">
      <w:pPr>
        <w:pStyle w:val="Title"/>
        <w:pBdr>
          <w:bottom w:val="threeDEngrave" w:sz="24" w:space="1" w:color="auto"/>
        </w:pBdr>
        <w:jc w:val="center"/>
        <w:rPr>
          <w:rFonts w:ascii="Times New Roman" w:hAnsi="Times New Roman" w:cs="Times New Roman"/>
          <w:b/>
          <w:sz w:val="20"/>
          <w:szCs w:val="20"/>
        </w:rPr>
      </w:pPr>
      <w:r>
        <w:rPr>
          <w:rFonts w:ascii="Times New Roman" w:hAnsi="Times New Roman" w:cs="Times New Roman"/>
          <w:b/>
          <w:sz w:val="20"/>
          <w:szCs w:val="20"/>
        </w:rPr>
        <w:t xml:space="preserve">PROGRAM SARJANA </w:t>
      </w:r>
    </w:p>
    <w:p w:rsidR="00D301C9" w:rsidRDefault="00D301C9" w:rsidP="00D301C9">
      <w:pPr>
        <w:pStyle w:val="Heading1"/>
        <w:numPr>
          <w:ilvl w:val="0"/>
          <w:numId w:val="1"/>
        </w:numPr>
        <w:ind w:left="540" w:hanging="540"/>
        <w:rPr>
          <w:rFonts w:cs="Times New Roman"/>
          <w:b/>
          <w:sz w:val="20"/>
          <w:szCs w:val="20"/>
        </w:rPr>
      </w:pPr>
      <w:r>
        <w:rPr>
          <w:rFonts w:cs="Times New Roman"/>
          <w:b/>
          <w:sz w:val="20"/>
          <w:szCs w:val="20"/>
        </w:rPr>
        <w:t>Deskripsi Umum</w:t>
      </w:r>
    </w:p>
    <w:p w:rsidR="00D301C9" w:rsidRDefault="00D301C9" w:rsidP="00D301C9">
      <w:pPr>
        <w:pStyle w:val="Heading2"/>
        <w:numPr>
          <w:ilvl w:val="1"/>
          <w:numId w:val="1"/>
        </w:numPr>
        <w:ind w:left="540" w:hanging="540"/>
        <w:rPr>
          <w:rFonts w:cs="Times New Roman"/>
          <w:b/>
          <w:sz w:val="20"/>
          <w:szCs w:val="20"/>
        </w:rPr>
      </w:pPr>
      <w:r>
        <w:rPr>
          <w:rFonts w:cs="Times New Roman"/>
          <w:b/>
          <w:sz w:val="20"/>
          <w:szCs w:val="20"/>
        </w:rPr>
        <w:t xml:space="preserve">Body </w:t>
      </w:r>
      <w:proofErr w:type="gramStart"/>
      <w:r>
        <w:rPr>
          <w:rFonts w:cs="Times New Roman"/>
          <w:b/>
          <w:sz w:val="20"/>
          <w:szCs w:val="20"/>
        </w:rPr>
        <w:t>Of</w:t>
      </w:r>
      <w:proofErr w:type="gramEnd"/>
      <w:r>
        <w:rPr>
          <w:rFonts w:cs="Times New Roman"/>
          <w:b/>
          <w:sz w:val="20"/>
          <w:szCs w:val="20"/>
        </w:rPr>
        <w:t xml:space="preserve"> Knowledge</w:t>
      </w:r>
    </w:p>
    <w:p w:rsidR="00D301C9" w:rsidRDefault="00D301C9" w:rsidP="00D301C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Teknik Geofisika adalah bagian dari ilmu kebumian yang menerapkan / memanfaatkan prinsip-prinsip Fisika, Matematika, dan geologi, serta didukung perangkat instrumentasi dan komputasi untuk mengkaji fenomena dan permasalahan yang berhubungan dengan bumi </w:t>
      </w:r>
      <w:proofErr w:type="gramStart"/>
      <w:r>
        <w:rPr>
          <w:rFonts w:ascii="Times New Roman" w:hAnsi="Times New Roman" w:cs="Times New Roman"/>
          <w:color w:val="000000"/>
          <w:sz w:val="20"/>
          <w:szCs w:val="20"/>
        </w:rPr>
        <w:t>padat(</w:t>
      </w:r>
      <w:proofErr w:type="gramEnd"/>
      <w:r>
        <w:rPr>
          <w:rFonts w:ascii="Times New Roman" w:hAnsi="Times New Roman" w:cs="Times New Roman"/>
          <w:color w:val="000000"/>
          <w:sz w:val="20"/>
          <w:szCs w:val="20"/>
        </w:rPr>
        <w:t>solid earth).</w:t>
      </w:r>
      <w:r>
        <w:rPr>
          <w:rFonts w:ascii="Times New Roman" w:hAnsi="Times New Roman" w:cs="Times New Roman"/>
          <w:color w:val="000000"/>
          <w:sz w:val="20"/>
          <w:szCs w:val="20"/>
        </w:rPr>
        <w:br/>
        <w:t>Bidang kajian/Teknologi yang digunakan di Teknik Geofisika antara lain: Seismologi, Geodinamika, Seismik eksplorasi, Gravitasi, Geomagnetisme, Geo-elektromagnetisme.</w:t>
      </w:r>
      <w:r>
        <w:rPr>
          <w:rFonts w:ascii="Times New Roman" w:hAnsi="Times New Roman" w:cs="Times New Roman"/>
          <w:color w:val="000000"/>
          <w:sz w:val="20"/>
          <w:szCs w:val="20"/>
        </w:rPr>
        <w:br/>
        <w:t>Permasalahan yang dikaji meliputi eksplorasi sumber daya bumi (migas, mineral, geotermal, air-tanah dll.), mitigasi bencana kebumian, geoteknik dan lingkungan melalui pendekatan yang bersifat kerekayasaan untuk meningkatkan kualitas hidup manusia. Geophysicist dengan instrument dan knowledge kompeten dalam memprediksi sifat fisis di bawah permukaan bumi yang berhubungan erat dengan hazard, sumber daya, monitoring, merekonstruksi struktur bumi dan memprediksi proses yang terjadi.</w:t>
      </w:r>
    </w:p>
    <w:p w:rsidR="00D301C9" w:rsidRDefault="00D301C9" w:rsidP="00D301C9">
      <w:pPr>
        <w:pStyle w:val="Heading2"/>
        <w:numPr>
          <w:ilvl w:val="1"/>
          <w:numId w:val="1"/>
        </w:numPr>
        <w:ind w:left="540" w:hanging="540"/>
        <w:rPr>
          <w:b/>
          <w:sz w:val="20"/>
          <w:szCs w:val="20"/>
        </w:rPr>
      </w:pPr>
      <w:r>
        <w:rPr>
          <w:b/>
          <w:sz w:val="20"/>
          <w:szCs w:val="20"/>
        </w:rPr>
        <w:t>Tantangan Yang Dihadapi</w:t>
      </w:r>
    </w:p>
    <w:p w:rsidR="00D301C9" w:rsidRDefault="00D301C9" w:rsidP="00D301C9">
      <w:pPr>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Tantangan yang dihadapi menyangkut dalam bidang teknologi, inovasi dan penemuan yang kurang lebih dapat dikelompokkan </w:t>
      </w:r>
      <w:proofErr w:type="gramStart"/>
      <w:r>
        <w:rPr>
          <w:rFonts w:ascii="Times New Roman" w:hAnsi="Times New Roman" w:cs="Times New Roman"/>
          <w:color w:val="000000"/>
          <w:sz w:val="20"/>
          <w:szCs w:val="20"/>
        </w:rPr>
        <w:t>pada :</w:t>
      </w:r>
      <w:proofErr w:type="gramEnd"/>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Komputasi menyangkut volume data besar dan jam kerja intensif</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Penemuan sumber daya konvensional dan inkonvensional yang sulit (dimensi, karakter)</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Penemuan dan teknik sumber daya inkonvensional (shale. Gas, CBM)</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Eksplorasi dan manajemen sumber daya air</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Instrumen dengan penetrasi dalam dan resolusi tinggi</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Paradigma mitigasi bencana, teknologi observasi dan pengolahan data precursor yang cepat dan </w:t>
      </w:r>
      <w:proofErr w:type="gramStart"/>
      <w:r>
        <w:rPr>
          <w:rFonts w:ascii="Times New Roman" w:hAnsi="Times New Roman" w:cs="Times New Roman"/>
          <w:color w:val="000000"/>
          <w:sz w:val="20"/>
          <w:szCs w:val="20"/>
        </w:rPr>
        <w:t>akurat(</w:t>
      </w:r>
      <w:proofErr w:type="gramEnd"/>
      <w:r>
        <w:rPr>
          <w:rFonts w:ascii="Times New Roman" w:hAnsi="Times New Roman" w:cs="Times New Roman"/>
          <w:color w:val="000000"/>
          <w:sz w:val="20"/>
          <w:szCs w:val="20"/>
        </w:rPr>
        <w:t>real time).</w:t>
      </w:r>
    </w:p>
    <w:p w:rsidR="00D301C9" w:rsidRDefault="00D301C9" w:rsidP="00D301C9">
      <w:pPr>
        <w:pStyle w:val="ListParagraph"/>
        <w:numPr>
          <w:ilvl w:val="0"/>
          <w:numId w:val="2"/>
        </w:numPr>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Signal extraction and enhancement dengan multi parameter, monitoring 4-D, Integrated geophysical methods dan optimum multiparameter</w:t>
      </w:r>
    </w:p>
    <w:p w:rsidR="00D301C9" w:rsidRDefault="00D301C9" w:rsidP="00D301C9">
      <w:pPr>
        <w:pStyle w:val="Heading2"/>
        <w:numPr>
          <w:ilvl w:val="1"/>
          <w:numId w:val="1"/>
        </w:numPr>
        <w:ind w:left="540" w:hanging="540"/>
        <w:rPr>
          <w:rFonts w:cs="Times New Roman"/>
          <w:b/>
          <w:sz w:val="20"/>
          <w:szCs w:val="20"/>
        </w:rPr>
      </w:pPr>
      <w:r>
        <w:rPr>
          <w:rFonts w:cs="Times New Roman"/>
          <w:b/>
          <w:sz w:val="20"/>
          <w:szCs w:val="20"/>
        </w:rPr>
        <w:t>Dasar Hukum, Akreditasi dan Standart Kurikulum Acuan</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(1) Undang-undang Republik Indonesia Nomor 12 Tahun</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lastRenderedPageBreak/>
        <w:t>2012 tentang Pendidikan Tinggi</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(2) Peraturan Presiden</w:t>
      </w:r>
      <w:r>
        <w:rPr>
          <w:rFonts w:ascii="Times New Roman" w:hAnsi="Times New Roman" w:cs="Times New Roman"/>
          <w:bCs/>
          <w:sz w:val="20"/>
          <w:szCs w:val="20"/>
        </w:rPr>
        <w:t xml:space="preserve"> Republik Indonesia No. 8 Tahun 2012 </w:t>
      </w:r>
      <w:r w:rsidRPr="00443277">
        <w:rPr>
          <w:rFonts w:ascii="Times New Roman" w:hAnsi="Times New Roman" w:cs="Times New Roman"/>
          <w:bCs/>
          <w:sz w:val="20"/>
          <w:szCs w:val="20"/>
        </w:rPr>
        <w:t>tentang     Kerangka     Kualifikasi     Nasional</w:t>
      </w:r>
      <w:r>
        <w:rPr>
          <w:rFonts w:ascii="Times New Roman" w:hAnsi="Times New Roman" w:cs="Times New Roman"/>
          <w:bCs/>
          <w:sz w:val="20"/>
          <w:szCs w:val="20"/>
        </w:rPr>
        <w:t xml:space="preserve"> </w:t>
      </w:r>
      <w:r w:rsidRPr="00443277">
        <w:rPr>
          <w:rFonts w:ascii="Times New Roman" w:hAnsi="Times New Roman" w:cs="Times New Roman"/>
          <w:bCs/>
          <w:sz w:val="20"/>
          <w:szCs w:val="20"/>
        </w:rPr>
        <w:t>Indonesia</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 xml:space="preserve">(3) </w:t>
      </w:r>
      <w:proofErr w:type="gramStart"/>
      <w:r w:rsidRPr="00443277">
        <w:rPr>
          <w:rFonts w:ascii="Times New Roman" w:hAnsi="Times New Roman" w:cs="Times New Roman"/>
          <w:bCs/>
          <w:sz w:val="20"/>
          <w:szCs w:val="20"/>
        </w:rPr>
        <w:t>Peraturan  Pemerintah</w:t>
      </w:r>
      <w:proofErr w:type="gramEnd"/>
      <w:r w:rsidRPr="00443277">
        <w:rPr>
          <w:rFonts w:ascii="Times New Roman" w:hAnsi="Times New Roman" w:cs="Times New Roman"/>
          <w:bCs/>
          <w:sz w:val="20"/>
          <w:szCs w:val="20"/>
        </w:rPr>
        <w:t xml:space="preserve"> No.4 tahun 2014 tentang Penyelenggaraan Pendidikan Tinggi dan Pengelolaan Perguruan Tinggi</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 xml:space="preserve">(4) Peraturan Pemerintah No.  </w:t>
      </w:r>
      <w:proofErr w:type="gramStart"/>
      <w:r w:rsidRPr="00443277">
        <w:rPr>
          <w:rFonts w:ascii="Times New Roman" w:hAnsi="Times New Roman" w:cs="Times New Roman"/>
          <w:bCs/>
          <w:sz w:val="20"/>
          <w:szCs w:val="20"/>
        </w:rPr>
        <w:t>54  tahun</w:t>
      </w:r>
      <w:proofErr w:type="gramEnd"/>
      <w:r w:rsidRPr="00443277">
        <w:rPr>
          <w:rFonts w:ascii="Times New Roman" w:hAnsi="Times New Roman" w:cs="Times New Roman"/>
          <w:bCs/>
          <w:sz w:val="20"/>
          <w:szCs w:val="20"/>
        </w:rPr>
        <w:t xml:space="preserve">  2015  tentang Statuta Institut Teknologi Sepuluh Nopember</w:t>
      </w: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(4) Peraturan</w:t>
      </w:r>
      <w:r w:rsidRPr="00443277">
        <w:rPr>
          <w:rFonts w:ascii="Times New Roman" w:hAnsi="Times New Roman" w:cs="Times New Roman"/>
          <w:bCs/>
          <w:sz w:val="20"/>
          <w:szCs w:val="20"/>
        </w:rPr>
        <w:tab/>
        <w:t>Menteri</w:t>
      </w:r>
      <w:r w:rsidRPr="00443277">
        <w:rPr>
          <w:rFonts w:ascii="Times New Roman" w:hAnsi="Times New Roman" w:cs="Times New Roman"/>
          <w:bCs/>
          <w:sz w:val="20"/>
          <w:szCs w:val="20"/>
        </w:rPr>
        <w:tab/>
        <w:t>Riset, Teknologi dan Pendidikan Tinggi No.44 Tahun 2015 tentang Standart Nasional Pendidikan Tinggi</w:t>
      </w:r>
    </w:p>
    <w:p w:rsidR="00D301C9" w:rsidRPr="00443277" w:rsidRDefault="00D301C9" w:rsidP="00D301C9">
      <w:pPr>
        <w:pStyle w:val="ListParagraph"/>
        <w:ind w:left="360"/>
        <w:jc w:val="both"/>
        <w:rPr>
          <w:rFonts w:ascii="Times New Roman" w:hAnsi="Times New Roman" w:cs="Times New Roman"/>
          <w:bCs/>
          <w:sz w:val="20"/>
          <w:szCs w:val="20"/>
        </w:rPr>
      </w:pPr>
    </w:p>
    <w:p w:rsidR="00D301C9" w:rsidRPr="00443277"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Kurikulum 2018 berbasis Kerangka Kualifikasi Nasional Indonesia (KKNI) yaitu standarisasi penyetaraan kompetensi lulusan yang dirumuskan dalam capaian pembelajaran. Tingkat kualifikasi capaian pembelajaran bagi program Sarjana dalam KKNI adalah level 6.</w:t>
      </w:r>
    </w:p>
    <w:p w:rsidR="00D301C9" w:rsidRDefault="00D301C9" w:rsidP="00D301C9">
      <w:pPr>
        <w:pStyle w:val="ListParagraph"/>
        <w:ind w:left="360"/>
        <w:jc w:val="both"/>
        <w:rPr>
          <w:rFonts w:ascii="Times New Roman" w:hAnsi="Times New Roman" w:cs="Times New Roman"/>
          <w:bCs/>
          <w:sz w:val="20"/>
          <w:szCs w:val="20"/>
        </w:rPr>
      </w:pPr>
      <w:r w:rsidRPr="00443277">
        <w:rPr>
          <w:rFonts w:ascii="Times New Roman" w:hAnsi="Times New Roman" w:cs="Times New Roman"/>
          <w:bCs/>
          <w:sz w:val="20"/>
          <w:szCs w:val="20"/>
        </w:rPr>
        <w:t>Standar kompetensi lulusan merupakan kriteria minimal tentang kualifikasi kemampuan lulusan yang mencakup sikap, pengetahuan, dan keterampilan umum dan keterampilan khusus yang dinyatakan dalam rumus</w:t>
      </w:r>
      <w:r>
        <w:rPr>
          <w:rFonts w:ascii="Times New Roman" w:hAnsi="Times New Roman" w:cs="Times New Roman"/>
          <w:bCs/>
          <w:sz w:val="20"/>
          <w:szCs w:val="20"/>
        </w:rPr>
        <w:t>an capaian pembelajaran lulusan.</w:t>
      </w:r>
    </w:p>
    <w:p w:rsidR="00D301C9" w:rsidRPr="00443277" w:rsidRDefault="00D301C9" w:rsidP="00D301C9">
      <w:pPr>
        <w:jc w:val="center"/>
        <w:rPr>
          <w:rFonts w:ascii="Times New Roman" w:hAnsi="Times New Roman" w:cs="Times New Roman"/>
          <w:bCs/>
          <w:sz w:val="20"/>
          <w:szCs w:val="20"/>
        </w:rPr>
      </w:pPr>
      <w:r>
        <w:rPr>
          <w:noProof/>
          <w:lang w:val="id-ID" w:eastAsia="id-ID"/>
        </w:rPr>
        <w:drawing>
          <wp:inline distT="0" distB="0" distL="0" distR="0" wp14:anchorId="76E584F9" wp14:editId="5E2B3719">
            <wp:extent cx="3978910" cy="2750099"/>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5" cstate="print"/>
                    <a:stretch>
                      <a:fillRect/>
                    </a:stretch>
                  </pic:blipFill>
                  <pic:spPr>
                    <a:xfrm>
                      <a:off x="0" y="0"/>
                      <a:ext cx="3992524" cy="2759509"/>
                    </a:xfrm>
                    <a:prstGeom prst="rect">
                      <a:avLst/>
                    </a:prstGeom>
                  </pic:spPr>
                </pic:pic>
              </a:graphicData>
            </a:graphic>
          </wp:inline>
        </w:drawing>
      </w:r>
    </w:p>
    <w:p w:rsidR="00D301C9" w:rsidRDefault="00D301C9" w:rsidP="00D301C9">
      <w:pPr>
        <w:pStyle w:val="Heading1"/>
        <w:ind w:left="1080"/>
        <w:jc w:val="center"/>
        <w:rPr>
          <w:rFonts w:cs="Times New Roman"/>
          <w:b/>
          <w:sz w:val="20"/>
          <w:szCs w:val="20"/>
        </w:rPr>
      </w:pPr>
      <w:r>
        <w:rPr>
          <w:rFonts w:cs="Times New Roman"/>
          <w:b/>
          <w:sz w:val="20"/>
          <w:szCs w:val="20"/>
        </w:rPr>
        <w:lastRenderedPageBreak/>
        <w:t>Tabel 1. Kata Kunci Tingkat Kemampuan Kerja KKNI</w:t>
      </w:r>
    </w:p>
    <w:p w:rsidR="00D301C9" w:rsidRDefault="00D301C9" w:rsidP="00D301C9">
      <w:pPr>
        <w:jc w:val="center"/>
        <w:rPr>
          <w:rFonts w:ascii="Times New Roman" w:hAnsi="Times New Roman" w:cs="Times New Roman"/>
          <w:sz w:val="20"/>
          <w:szCs w:val="20"/>
        </w:rPr>
      </w:pPr>
      <w:r>
        <w:rPr>
          <w:rFonts w:ascii="Times New Roman" w:hAnsi="Times New Roman" w:cs="Times New Roman"/>
          <w:noProof/>
          <w:sz w:val="20"/>
          <w:szCs w:val="20"/>
          <w:lang w:val="id-ID" w:eastAsia="id-ID"/>
        </w:rPr>
        <w:drawing>
          <wp:inline distT="0" distB="0" distL="0" distR="0" wp14:anchorId="3AED90A0" wp14:editId="46D21C19">
            <wp:extent cx="4144645" cy="2105025"/>
            <wp:effectExtent l="0" t="0" r="825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6" cstate="print"/>
                    <a:stretch>
                      <a:fillRect/>
                    </a:stretch>
                  </pic:blipFill>
                  <pic:spPr>
                    <a:xfrm>
                      <a:off x="0" y="0"/>
                      <a:ext cx="4153206" cy="2109220"/>
                    </a:xfrm>
                    <a:prstGeom prst="rect">
                      <a:avLst/>
                    </a:prstGeom>
                  </pic:spPr>
                </pic:pic>
              </a:graphicData>
            </a:graphic>
          </wp:inline>
        </w:drawing>
      </w:r>
    </w:p>
    <w:p w:rsidR="00D301C9" w:rsidRDefault="00D301C9" w:rsidP="00D301C9">
      <w:pPr>
        <w:jc w:val="center"/>
        <w:rPr>
          <w:rFonts w:ascii="Times New Roman" w:hAnsi="Times New Roman" w:cs="Times New Roman"/>
          <w:b/>
          <w:sz w:val="20"/>
          <w:szCs w:val="20"/>
        </w:rPr>
      </w:pPr>
      <w:r>
        <w:rPr>
          <w:rFonts w:ascii="Times New Roman" w:hAnsi="Times New Roman" w:cs="Times New Roman"/>
          <w:b/>
          <w:sz w:val="20"/>
          <w:szCs w:val="20"/>
        </w:rPr>
        <w:t>Tabel 2. Tingkat Penguasaan Pengetahuan Sesuai Standar Isi Pembelajaran</w:t>
      </w:r>
    </w:p>
    <w:p w:rsidR="00D301C9" w:rsidRDefault="00D301C9" w:rsidP="00D301C9">
      <w:pPr>
        <w:pStyle w:val="Heading1"/>
        <w:jc w:val="center"/>
        <w:rPr>
          <w:rFonts w:cs="Times New Roman"/>
          <w:sz w:val="20"/>
          <w:szCs w:val="20"/>
        </w:rPr>
      </w:pPr>
      <w:r>
        <w:rPr>
          <w:rFonts w:cs="Times New Roman"/>
          <w:noProof/>
          <w:sz w:val="20"/>
          <w:szCs w:val="20"/>
          <w:lang w:val="id-ID" w:eastAsia="id-ID"/>
        </w:rPr>
        <w:drawing>
          <wp:inline distT="0" distB="0" distL="0" distR="0" wp14:anchorId="058CB9FC" wp14:editId="02C7B64B">
            <wp:extent cx="4163060" cy="1752600"/>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7" cstate="print"/>
                    <a:stretch>
                      <a:fillRect/>
                    </a:stretch>
                  </pic:blipFill>
                  <pic:spPr>
                    <a:xfrm>
                      <a:off x="0" y="0"/>
                      <a:ext cx="4166240" cy="1753817"/>
                    </a:xfrm>
                    <a:prstGeom prst="rect">
                      <a:avLst/>
                    </a:prstGeom>
                  </pic:spPr>
                </pic:pic>
              </a:graphicData>
            </a:graphic>
          </wp:inline>
        </w:drawing>
      </w:r>
    </w:p>
    <w:p w:rsidR="00D301C9" w:rsidRDefault="00D301C9" w:rsidP="00D301C9">
      <w:pPr>
        <w:pStyle w:val="Heading1"/>
        <w:ind w:left="1080"/>
        <w:rPr>
          <w:rFonts w:cs="Times New Roman"/>
          <w:sz w:val="20"/>
          <w:szCs w:val="20"/>
        </w:rPr>
      </w:pPr>
    </w:p>
    <w:p w:rsidR="00D301C9" w:rsidRDefault="00D301C9" w:rsidP="00D301C9">
      <w:pPr>
        <w:pStyle w:val="Heading1"/>
        <w:numPr>
          <w:ilvl w:val="0"/>
          <w:numId w:val="1"/>
        </w:numPr>
        <w:rPr>
          <w:rFonts w:cs="Times New Roman"/>
          <w:sz w:val="20"/>
          <w:szCs w:val="20"/>
        </w:rPr>
        <w:sectPr w:rsidR="00D301C9">
          <w:footerReference w:type="default" r:id="rId8"/>
          <w:pgSz w:w="8392" w:h="11907"/>
          <w:pgMar w:top="1134" w:right="851" w:bottom="1134" w:left="1134" w:header="720" w:footer="720" w:gutter="0"/>
          <w:cols w:space="720"/>
          <w:docGrid w:linePitch="360"/>
        </w:sectPr>
      </w:pPr>
    </w:p>
    <w:p w:rsidR="00D301C9" w:rsidRDefault="00D301C9" w:rsidP="00D301C9">
      <w:pPr>
        <w:pStyle w:val="Heading1"/>
        <w:rPr>
          <w:b/>
          <w:sz w:val="20"/>
          <w:szCs w:val="20"/>
        </w:rPr>
      </w:pPr>
      <w:r>
        <w:rPr>
          <w:b/>
          <w:sz w:val="20"/>
          <w:szCs w:val="20"/>
        </w:rPr>
        <w:lastRenderedPageBreak/>
        <w:t>II.</w:t>
      </w:r>
      <w:r>
        <w:rPr>
          <w:sz w:val="20"/>
          <w:szCs w:val="20"/>
        </w:rPr>
        <w:t xml:space="preserve"> </w:t>
      </w:r>
      <w:r>
        <w:rPr>
          <w:b/>
          <w:sz w:val="20"/>
          <w:szCs w:val="20"/>
        </w:rPr>
        <w:t>TUJUAN PENDIDIKAN DAN CAPAIAN PEMBELAJARAN LULUSAN (CPL) DEPARTEMEN TEKNIK GEOFISIKA</w:t>
      </w:r>
    </w:p>
    <w:p w:rsidR="00D301C9" w:rsidRDefault="00D301C9" w:rsidP="00D301C9">
      <w:pPr>
        <w:pStyle w:val="Heading2"/>
        <w:rPr>
          <w:b/>
          <w:sz w:val="20"/>
          <w:szCs w:val="20"/>
        </w:rPr>
      </w:pPr>
      <w:r>
        <w:rPr>
          <w:b/>
          <w:sz w:val="20"/>
          <w:szCs w:val="20"/>
        </w:rPr>
        <w:t>2.1 Tujuan Pendidikan ITS dan Departemen Teknik Geofisika</w:t>
      </w:r>
    </w:p>
    <w:p w:rsidR="00D301C9" w:rsidRDefault="00D301C9" w:rsidP="00D301C9">
      <w:pPr>
        <w:pStyle w:val="Heading2"/>
        <w:rPr>
          <w:rFonts w:eastAsia="Times New Roman"/>
          <w:sz w:val="20"/>
          <w:szCs w:val="20"/>
        </w:rPr>
      </w:pPr>
      <w:r>
        <w:rPr>
          <w:rFonts w:eastAsia="Times New Roman"/>
          <w:color w:val="000000"/>
          <w:sz w:val="20"/>
          <w:szCs w:val="20"/>
          <w:shd w:val="clear" w:color="auto" w:fill="FFFFFF"/>
        </w:rPr>
        <w:t>Tujuan pendidikan </w:t>
      </w:r>
      <w:hyperlink r:id="rId9" w:tgtFrame="_new" w:history="1">
        <w:r>
          <w:rPr>
            <w:rFonts w:eastAsia="Times New Roman"/>
            <w:color w:val="0066FF"/>
            <w:sz w:val="20"/>
            <w:szCs w:val="20"/>
            <w:shd w:val="clear" w:color="auto" w:fill="FFFFFF"/>
          </w:rPr>
          <w:t>ITS</w:t>
        </w:r>
      </w:hyperlink>
      <w:r>
        <w:rPr>
          <w:rFonts w:eastAsia="Times New Roman"/>
          <w:color w:val="000000"/>
          <w:sz w:val="20"/>
          <w:szCs w:val="20"/>
          <w:shd w:val="clear" w:color="auto" w:fill="FFFFFF"/>
        </w:rPr>
        <w:t> meliputi:</w:t>
      </w:r>
    </w:p>
    <w:p w:rsidR="00D301C9" w:rsidRDefault="00D301C9" w:rsidP="00D301C9">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Pembinaan hidup bermasyarakat</w:t>
      </w:r>
    </w:p>
    <w:p w:rsidR="00D301C9" w:rsidRDefault="00D301C9" w:rsidP="00D301C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Pembinaan sikap ilmiah</w:t>
      </w:r>
    </w:p>
    <w:p w:rsidR="00D301C9" w:rsidRDefault="00D301C9" w:rsidP="00D301C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Pembinaan sikap kepemimpinan</w:t>
      </w:r>
    </w:p>
    <w:p w:rsidR="00D301C9" w:rsidRDefault="00D301C9" w:rsidP="00D301C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Pembinaan keahlian</w:t>
      </w:r>
    </w:p>
    <w:p w:rsidR="00D301C9" w:rsidRDefault="00D301C9" w:rsidP="00D301C9">
      <w:pPr>
        <w:spacing w:after="0"/>
        <w:rPr>
          <w:rFonts w:ascii="Times New Roman" w:hAnsi="Times New Roman" w:cs="Times New Roman"/>
          <w:sz w:val="20"/>
          <w:szCs w:val="20"/>
        </w:rPr>
      </w:pPr>
      <w:r>
        <w:rPr>
          <w:rFonts w:ascii="Times New Roman" w:hAnsi="Times New Roman" w:cs="Times New Roman"/>
          <w:sz w:val="20"/>
          <w:szCs w:val="20"/>
        </w:rPr>
        <w:t xml:space="preserve">Sebagai bagian dari civitas akademika ITS, mahasiswa lulusan Teknik Geofisika ITS diharapkan mampu unggul di bidang engineering sehingga </w:t>
      </w:r>
      <w:r>
        <w:rPr>
          <w:rFonts w:ascii="Times New Roman" w:hAnsi="Times New Roman" w:cs="Times New Roman"/>
          <w:sz w:val="20"/>
          <w:szCs w:val="20"/>
          <w:lang w:val="id-ID"/>
        </w:rPr>
        <w:t>Departemen</w:t>
      </w:r>
      <w:r>
        <w:rPr>
          <w:rFonts w:ascii="Times New Roman" w:hAnsi="Times New Roman" w:cs="Times New Roman"/>
          <w:sz w:val="20"/>
          <w:szCs w:val="20"/>
        </w:rPr>
        <w:t xml:space="preserve"> Teknik Geofisika ITS memberikan standard kompetensi sebagai berikut: </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pPr>
      <w:r>
        <w:rPr>
          <w:rFonts w:ascii="Times New Roman" w:hAnsi="Times New Roman" w:cs="Times New Roman"/>
          <w:sz w:val="20"/>
          <w:szCs w:val="20"/>
        </w:rPr>
        <w:t>Menguasai perangkat teknologi, pengetahuan dan atau sistem pada profesinya</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pPr>
      <w:r>
        <w:rPr>
          <w:rFonts w:ascii="Times New Roman" w:hAnsi="Times New Roman" w:cs="Times New Roman"/>
          <w:sz w:val="20"/>
          <w:szCs w:val="20"/>
        </w:rPr>
        <w:t>Mampu melakukan pengukuran parameter alam menggunakan metoda geomagnet, gravity, seismik, dan geolistrik untuk mendapatkan data yang akurat dan benar dengan proses pengambilan data lapangan yang lebih efektif dan efisien.</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pPr>
      <w:r>
        <w:rPr>
          <w:rFonts w:ascii="Times New Roman" w:hAnsi="Times New Roman" w:cs="Times New Roman"/>
          <w:sz w:val="20"/>
          <w:szCs w:val="20"/>
        </w:rPr>
        <w:t xml:space="preserve">Mampu menafsirkan data hasil pengukuran menjadi informasi yang mudah dijelaskan dengan bahasa kebumian yang dapat dimanfaatkan oleh disiplin ilmu lain. </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pPr>
      <w:r>
        <w:rPr>
          <w:rFonts w:ascii="Times New Roman" w:hAnsi="Times New Roman" w:cs="Times New Roman"/>
          <w:sz w:val="20"/>
          <w:szCs w:val="20"/>
        </w:rPr>
        <w:t>Mampu berkolaborasi dengan perusahaan nasional maupun internasional.</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pPr>
      <w:r>
        <w:rPr>
          <w:rFonts w:ascii="Times New Roman" w:hAnsi="Times New Roman" w:cs="Times New Roman"/>
          <w:sz w:val="20"/>
          <w:szCs w:val="20"/>
        </w:rPr>
        <w:t>Mendapatkan pekerjaan dan prestasi pada industri atau lembaga yang relevan</w:t>
      </w:r>
    </w:p>
    <w:p w:rsidR="00D301C9" w:rsidRDefault="00D301C9" w:rsidP="00D301C9">
      <w:pPr>
        <w:pStyle w:val="ListParagraph"/>
        <w:numPr>
          <w:ilvl w:val="0"/>
          <w:numId w:val="4"/>
        </w:numPr>
        <w:spacing w:after="200" w:line="276" w:lineRule="auto"/>
        <w:ind w:left="426"/>
        <w:jc w:val="both"/>
        <w:rPr>
          <w:rFonts w:ascii="Times New Roman" w:hAnsi="Times New Roman" w:cs="Times New Roman"/>
          <w:sz w:val="20"/>
          <w:szCs w:val="20"/>
        </w:rPr>
        <w:sectPr w:rsidR="00D301C9">
          <w:pgSz w:w="8392" w:h="11907"/>
          <w:pgMar w:top="1134" w:right="851" w:bottom="1134" w:left="1134" w:header="720" w:footer="720" w:gutter="0"/>
          <w:cols w:space="720"/>
          <w:docGrid w:linePitch="360"/>
        </w:sectPr>
      </w:pPr>
      <w:r>
        <w:rPr>
          <w:rFonts w:ascii="Times New Roman" w:hAnsi="Times New Roman" w:cs="Times New Roman"/>
          <w:sz w:val="20"/>
          <w:szCs w:val="20"/>
        </w:rPr>
        <w:t>S</w:t>
      </w:r>
      <w:r>
        <w:rPr>
          <w:rFonts w:ascii="Times New Roman" w:hAnsi="Times New Roman" w:cs="Times New Roman"/>
          <w:i/>
          <w:sz w:val="20"/>
          <w:szCs w:val="20"/>
        </w:rPr>
        <w:t>oftskill</w:t>
      </w:r>
      <w:r>
        <w:rPr>
          <w:rFonts w:ascii="Times New Roman" w:hAnsi="Times New Roman" w:cs="Times New Roman"/>
          <w:sz w:val="20"/>
          <w:szCs w:val="20"/>
        </w:rPr>
        <w:t xml:space="preserve"> dimana </w:t>
      </w:r>
      <w:proofErr w:type="gramStart"/>
      <w:r>
        <w:rPr>
          <w:rFonts w:ascii="Times New Roman" w:hAnsi="Times New Roman" w:cs="Times New Roman"/>
          <w:sz w:val="20"/>
          <w:szCs w:val="20"/>
        </w:rPr>
        <w:t>mahasiswa  memiliki</w:t>
      </w:r>
      <w:proofErr w:type="gramEnd"/>
      <w:r>
        <w:rPr>
          <w:rFonts w:ascii="Times New Roman" w:hAnsi="Times New Roman" w:cs="Times New Roman"/>
          <w:sz w:val="20"/>
          <w:szCs w:val="20"/>
        </w:rPr>
        <w:t xml:space="preserve"> kepercayaan diri yang tinggi sehingga mampu mempimpin suatu organisasi  dan bekerjasama dengan ditunjang oleh kemampuan berkomunikasi bahasa Inggris yang lancar dan baik.</w:t>
      </w:r>
    </w:p>
    <w:p w:rsidR="00D301C9" w:rsidRDefault="00D301C9" w:rsidP="00D301C9">
      <w:pPr>
        <w:spacing w:after="200" w:line="276" w:lineRule="auto"/>
        <w:ind w:left="66"/>
        <w:jc w:val="both"/>
        <w:rPr>
          <w:rFonts w:ascii="Times New Roman" w:hAnsi="Times New Roman" w:cs="Times New Roman"/>
          <w:sz w:val="20"/>
          <w:szCs w:val="20"/>
        </w:rPr>
      </w:pPr>
      <w:r>
        <w:rPr>
          <w:rFonts w:ascii="Times New Roman" w:hAnsi="Times New Roman" w:cs="Times New Roman"/>
          <w:b/>
          <w:sz w:val="20"/>
          <w:szCs w:val="20"/>
        </w:rPr>
        <w:lastRenderedPageBreak/>
        <w:t>2.2. Capaian Pembelajaran Lulusan (CPL) Departemen Teknik Geofisika</w:t>
      </w:r>
    </w:p>
    <w:p w:rsidR="00D301C9" w:rsidRDefault="00D301C9" w:rsidP="00D301C9">
      <w:pPr>
        <w:pStyle w:val="Heading2"/>
        <w:jc w:val="center"/>
        <w:rPr>
          <w:rFonts w:cs="Times New Roman"/>
          <w:b/>
          <w:sz w:val="20"/>
          <w:szCs w:val="20"/>
        </w:rPr>
      </w:pPr>
      <w:r>
        <w:rPr>
          <w:rFonts w:cs="Times New Roman"/>
          <w:b/>
          <w:sz w:val="20"/>
          <w:szCs w:val="20"/>
        </w:rPr>
        <w:t>CAPAIAN PEMBELAJARAN LULUSAN</w:t>
      </w:r>
    </w:p>
    <w:p w:rsidR="00D301C9" w:rsidRDefault="00D301C9" w:rsidP="00D301C9">
      <w:pPr>
        <w:spacing w:after="0"/>
        <w:jc w:val="center"/>
        <w:rPr>
          <w:rFonts w:ascii="Times New Roman" w:hAnsi="Times New Roman" w:cs="Times New Roman"/>
          <w:b/>
          <w:sz w:val="20"/>
          <w:szCs w:val="20"/>
        </w:rPr>
      </w:pPr>
      <w:r>
        <w:rPr>
          <w:rFonts w:ascii="Times New Roman" w:hAnsi="Times New Roman" w:cs="Times New Roman"/>
          <w:b/>
          <w:sz w:val="20"/>
          <w:szCs w:val="20"/>
        </w:rPr>
        <w:t>KURIKULUM 2018-2022</w:t>
      </w:r>
    </w:p>
    <w:p w:rsidR="00D301C9" w:rsidRDefault="00D301C9" w:rsidP="00D301C9">
      <w:pPr>
        <w:spacing w:after="0"/>
        <w:jc w:val="center"/>
        <w:rPr>
          <w:rFonts w:ascii="Times New Roman" w:hAnsi="Times New Roman" w:cs="Times New Roman"/>
          <w:b/>
          <w:sz w:val="20"/>
          <w:szCs w:val="20"/>
        </w:rPr>
      </w:pPr>
      <w:r>
        <w:rPr>
          <w:rFonts w:ascii="Times New Roman" w:hAnsi="Times New Roman" w:cs="Times New Roman"/>
          <w:b/>
          <w:sz w:val="20"/>
          <w:szCs w:val="20"/>
        </w:rPr>
        <w:t>DEPARTEMEN TEKNIK GEOFISIKA</w:t>
      </w:r>
    </w:p>
    <w:p w:rsidR="00D301C9" w:rsidRDefault="00D301C9" w:rsidP="00D301C9">
      <w:pPr>
        <w:jc w:val="center"/>
        <w:rPr>
          <w:rFonts w:ascii="Times New Roman" w:hAnsi="Times New Roman" w:cs="Times New Roman"/>
          <w:b/>
          <w:sz w:val="20"/>
          <w:szCs w:val="20"/>
        </w:rPr>
      </w:pPr>
      <w:r>
        <w:rPr>
          <w:rFonts w:ascii="Times New Roman" w:hAnsi="Times New Roman" w:cs="Times New Roman"/>
          <w:b/>
          <w:sz w:val="20"/>
          <w:szCs w:val="20"/>
        </w:rPr>
        <w:t>PROGRAM SARJANA</w:t>
      </w:r>
    </w:p>
    <w:tbl>
      <w:tblPr>
        <w:tblW w:w="5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5"/>
        <w:gridCol w:w="630"/>
        <w:gridCol w:w="3420"/>
      </w:tblGrid>
      <w:tr w:rsidR="00D301C9" w:rsidTr="00EE298D">
        <w:trPr>
          <w:jc w:val="center"/>
        </w:trPr>
        <w:tc>
          <w:tcPr>
            <w:tcW w:w="5485" w:type="dxa"/>
            <w:gridSpan w:val="3"/>
            <w:shd w:val="clear" w:color="auto" w:fill="C4BC96"/>
          </w:tcPr>
          <w:p w:rsidR="00D301C9" w:rsidRDefault="00D301C9" w:rsidP="00EE298D">
            <w:pPr>
              <w:spacing w:before="120" w:after="120" w:line="240" w:lineRule="auto"/>
              <w:contextualSpacing/>
              <w:jc w:val="both"/>
              <w:rPr>
                <w:rFonts w:ascii="Times New Roman" w:hAnsi="Times New Roman" w:cs="Times New Roman"/>
                <w:color w:val="000000"/>
                <w:sz w:val="20"/>
                <w:szCs w:val="20"/>
              </w:rPr>
            </w:pPr>
            <w:r>
              <w:rPr>
                <w:rFonts w:ascii="Times New Roman" w:hAnsi="Times New Roman" w:cs="Times New Roman"/>
                <w:b/>
                <w:color w:val="000000"/>
                <w:sz w:val="20"/>
                <w:szCs w:val="20"/>
              </w:rPr>
              <w:t>Capaian Pembelajaran Lulusan</w:t>
            </w:r>
          </w:p>
        </w:tc>
      </w:tr>
      <w:tr w:rsidR="00D301C9" w:rsidTr="00EE298D">
        <w:trPr>
          <w:trHeight w:val="747"/>
          <w:jc w:val="center"/>
        </w:trPr>
        <w:tc>
          <w:tcPr>
            <w:tcW w:w="1435" w:type="dxa"/>
            <w:vMerge w:val="restart"/>
            <w:shd w:val="clear" w:color="auto" w:fill="auto"/>
          </w:tcPr>
          <w:p w:rsidR="00D301C9" w:rsidRDefault="00D301C9" w:rsidP="00EE298D">
            <w:pPr>
              <w:spacing w:before="240"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Sikap </w:t>
            </w:r>
          </w:p>
        </w:tc>
        <w:tc>
          <w:tcPr>
            <w:tcW w:w="630" w:type="dxa"/>
            <w:shd w:val="clear" w:color="auto" w:fill="auto"/>
          </w:tcPr>
          <w:p w:rsidR="00D301C9" w:rsidRDefault="00D301C9" w:rsidP="00EE298D">
            <w:pPr>
              <w:spacing w:before="240" w:after="0" w:line="240" w:lineRule="auto"/>
              <w:jc w:val="center"/>
              <w:rPr>
                <w:rFonts w:ascii="Times New Roman" w:hAnsi="Times New Roman" w:cs="Times New Roman"/>
                <w:sz w:val="20"/>
                <w:szCs w:val="20"/>
              </w:rPr>
            </w:pPr>
            <w:r>
              <w:rPr>
                <w:rFonts w:ascii="Times New Roman" w:hAnsi="Times New Roman" w:cs="Times New Roman"/>
                <w:sz w:val="20"/>
                <w:szCs w:val="20"/>
              </w:rPr>
              <w:t>1.1</w:t>
            </w:r>
          </w:p>
        </w:tc>
        <w:tc>
          <w:tcPr>
            <w:tcW w:w="3420" w:type="dxa"/>
            <w:shd w:val="clear" w:color="auto" w:fill="auto"/>
          </w:tcPr>
          <w:p w:rsidR="00D301C9" w:rsidRDefault="00D301C9" w:rsidP="00EE298D">
            <w:pPr>
              <w:spacing w:before="24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bertakwa kepada Tuhan Yang Maha Esa dan mampu menunjukkan sikap religius;</w:t>
            </w:r>
          </w:p>
        </w:tc>
      </w:tr>
      <w:tr w:rsidR="00D301C9" w:rsidTr="00EE298D">
        <w:trPr>
          <w:trHeight w:val="747"/>
          <w:jc w:val="center"/>
        </w:trPr>
        <w:tc>
          <w:tcPr>
            <w:tcW w:w="1435" w:type="dxa"/>
            <w:vMerge/>
            <w:shd w:val="clear" w:color="auto" w:fill="auto"/>
          </w:tcPr>
          <w:p w:rsidR="00D301C9" w:rsidRDefault="00D301C9" w:rsidP="00EE298D">
            <w:pPr>
              <w:spacing w:before="240" w:after="0" w:line="240" w:lineRule="auto"/>
              <w:jc w:val="center"/>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3420" w:type="dxa"/>
            <w:shd w:val="clear" w:color="auto" w:fill="auto"/>
          </w:tcPr>
          <w:p w:rsidR="00D301C9" w:rsidRDefault="00D301C9" w:rsidP="00EE298D">
            <w:pPr>
              <w:spacing w:before="240" w:line="240" w:lineRule="auto"/>
              <w:ind w:right="397"/>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menjunjung tinggi nilai kemanusiaan dalam menjalankan tugas berdasarkan agama, moral dan etika; </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berkontribusi dalam peningkatan mutu kehidupan bermasyarakat, berbangsa, bernegara, dan peradaban berdasarkan Pancasila;</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berperan sebagai warga negara yang bangga dan cinta tanah air, memiliki nasionalisme serta rasa tanggung jawab pada negara dan bangsa;</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sz w:val="20"/>
                <w:szCs w:val="20"/>
              </w:rPr>
            </w:pPr>
            <w:r>
              <w:rPr>
                <w:rFonts w:ascii="Times New Roman" w:hAnsi="Times New Roman" w:cs="Times New Roman"/>
                <w:color w:val="000000"/>
                <w:sz w:val="20"/>
                <w:szCs w:val="20"/>
              </w:rPr>
              <w:t>menghargai keanekaragaman budaya, pandangan, agama, dan kepercayaan, serta pendapat atau temuan orisinal orang lain;</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bekerja sama dan memiliki kepekaan sosial serta kepedulian terhadap masyarakat dan lingkungan;</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1.7</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taat hukum dan disiplin dalam kehidupan bermasyarakat dan bernegara;</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1.8</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menginternalisasi nilai, norma, dan etika akademik;</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menunjukkan sikap bertanggung jawab atas pekerjaan di bidang keahliannya secara mandiri;</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1.10</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menginternalisasi semangat kemandirian, kejuangan, dan kewirausahaan</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1.11</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berusaha secara maksimal untuk mencapai hasil yang sempurna; dan</w:t>
            </w:r>
          </w:p>
        </w:tc>
      </w:tr>
      <w:tr w:rsidR="00D301C9" w:rsidTr="00EE298D">
        <w:trPr>
          <w:trHeight w:val="559"/>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bekerja</w:t>
            </w:r>
            <w:proofErr w:type="gramEnd"/>
            <w:r>
              <w:rPr>
                <w:rFonts w:ascii="Times New Roman" w:hAnsi="Times New Roman" w:cs="Times New Roman"/>
                <w:color w:val="000000"/>
                <w:sz w:val="20"/>
                <w:szCs w:val="20"/>
              </w:rPr>
              <w:t xml:space="preserve"> sama untuk dapat memanfaatkan semaksimal mungkin potensi yang dimiliki.</w:t>
            </w:r>
          </w:p>
        </w:tc>
      </w:tr>
      <w:tr w:rsidR="00D301C9" w:rsidTr="00EE298D">
        <w:trPr>
          <w:trHeight w:val="695"/>
          <w:jc w:val="center"/>
        </w:trPr>
        <w:tc>
          <w:tcPr>
            <w:tcW w:w="1435" w:type="dxa"/>
            <w:vMerge w:val="restart"/>
            <w:shd w:val="clear" w:color="auto" w:fill="auto"/>
          </w:tcPr>
          <w:p w:rsidR="00D301C9" w:rsidRDefault="00D301C9" w:rsidP="00EE29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Ketrampilan Umum</w:t>
            </w: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color w:val="000000"/>
                <w:sz w:val="20"/>
                <w:szCs w:val="20"/>
              </w:rPr>
            </w:pPr>
            <w:r>
              <w:rPr>
                <w:rFonts w:ascii="Times New Roman" w:eastAsia="Times New Roman" w:hAnsi="Times New Roman" w:cs="Times New Roman"/>
                <w:color w:val="000000"/>
                <w:sz w:val="20"/>
                <w:szCs w:val="20"/>
              </w:rPr>
              <w:t xml:space="preserve">mampu menerapkan pemikiran logis, kritis, sistematis, dan inovatif dalam konteks pengembangan atau implementasi ilmu pengetahuan </w:t>
            </w:r>
            <w:r>
              <w:rPr>
                <w:rFonts w:ascii="Times New Roman" w:eastAsia="Times New Roman" w:hAnsi="Times New Roman" w:cs="Times New Roman"/>
                <w:color w:val="000000"/>
                <w:sz w:val="20"/>
                <w:szCs w:val="20"/>
              </w:rPr>
              <w:lastRenderedPageBreak/>
              <w:t>dan teknologi yang memperhatikan dan menerapkan nilai humaniora yang sesuai dengan bidang keahliannya;</w:t>
            </w:r>
          </w:p>
        </w:tc>
      </w:tr>
      <w:tr w:rsidR="00D301C9" w:rsidTr="00EE298D">
        <w:trPr>
          <w:trHeight w:val="695"/>
          <w:jc w:val="center"/>
        </w:trPr>
        <w:tc>
          <w:tcPr>
            <w:tcW w:w="1435" w:type="dxa"/>
            <w:vMerge/>
            <w:shd w:val="clear" w:color="auto" w:fill="auto"/>
          </w:tcPr>
          <w:p w:rsidR="00D301C9" w:rsidRDefault="00D301C9" w:rsidP="00EE298D">
            <w:pPr>
              <w:spacing w:after="0" w:line="240" w:lineRule="auto"/>
              <w:jc w:val="center"/>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menunjukkan kinerja mandiri, bermutu, dan terukur;</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2.3</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mengkaji implikasi pengembangan atau implementasi ilmu pengetahuan teknologi yang memperhatikan dan menerapkan nilai humaniora sesuai dengan keahliannya berdasarkan kaidah, tata cara dan etika ilmiah dalam rangka menghasilkan solusi, gagasan, desain atau kritik seni, menyusun deskripsi saintifik hasil kajiannya dalam bentuk skripsi atau laporan tugas akhir, dan mengunggahnya dalam laman perguruan tinggi;</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3420" w:type="dxa"/>
            <w:shd w:val="clear" w:color="auto" w:fill="FFFFFF" w:themeFill="background1"/>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menyusun deskripsi saintifik hasil kajian tersebut di atas dalam bentuk skripsi atau laporan tugas akhir, dan mengunggahnya dalam laman perguruan tinggi;</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mengambil keputusan secara tepat dalam konteks penyelesaian masalah di bidang keahliannya, berdasarkan hasil analisis informasi dan data;</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3420" w:type="dxa"/>
            <w:shd w:val="clear" w:color="auto" w:fill="FFFFFF" w:themeFill="background1"/>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memelihara dan mengembang-kan jaringan kerja dengan pembimbing, kolega, sejawat baik di dalam maupun di luar lembaganya;</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mampu bertanggungjawab atas pencapaian hasil kerja kelompok dan melakukan supervisi dan evaluasi terhadap penyelesaian pekerjaan yang ditugaskan kepada pekerja yang berada di bawah tanggungjawabnya;</w:t>
            </w:r>
          </w:p>
        </w:tc>
      </w:tr>
      <w:tr w:rsidR="00D301C9" w:rsidTr="00EE298D">
        <w:trPr>
          <w:trHeight w:val="948"/>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melakukan proses evaluasi diri terhadap kelompok kerja yang berada dibawah tanggung jawabnya, dan mampu mengelola pembelajaran secara mandiri;</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mendokumentasikan, menyimpan, mengamankan, dan menemukan kembali data untuk menjamin kesahihan dan mencegah plagiasi;</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2.10</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mengembangkan diri dan bersaing di tingkat nasional maupun internasional;</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2.11</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mengimplementasikan wawasan lingkungan dalam mengembangkan pengetahuan;</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2.12</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r>
              <w:rPr>
                <w:rFonts w:ascii="Times New Roman" w:hAnsi="Times New Roman" w:cs="Times New Roman"/>
                <w:color w:val="000000"/>
                <w:sz w:val="20"/>
                <w:szCs w:val="20"/>
              </w:rPr>
              <w:t>mampu mengimplementasikan teknologi informasi dan komunikasi dalam konteks pelaksanaan pekerjaannya; dan</w:t>
            </w:r>
          </w:p>
        </w:tc>
      </w:tr>
      <w:tr w:rsidR="00D301C9" w:rsidTr="00EE298D">
        <w:trPr>
          <w:trHeight w:val="846"/>
          <w:jc w:val="center"/>
        </w:trPr>
        <w:tc>
          <w:tcPr>
            <w:tcW w:w="1435" w:type="dxa"/>
            <w:vMerge/>
            <w:shd w:val="clear" w:color="auto" w:fill="auto"/>
            <w:textDirection w:val="btLr"/>
          </w:tcPr>
          <w:p w:rsidR="00D301C9" w:rsidRDefault="00D301C9" w:rsidP="00EE298D">
            <w:pPr>
              <w:spacing w:after="0" w:line="240" w:lineRule="auto"/>
              <w:ind w:left="113" w:right="113"/>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2.13</w:t>
            </w:r>
          </w:p>
        </w:tc>
        <w:tc>
          <w:tcPr>
            <w:tcW w:w="3420" w:type="dxa"/>
            <w:shd w:val="clear" w:color="auto" w:fill="auto"/>
          </w:tcPr>
          <w:p w:rsidR="00D301C9" w:rsidRDefault="00D301C9" w:rsidP="00EE298D">
            <w:pPr>
              <w:spacing w:after="0" w:line="240" w:lineRule="auto"/>
              <w:ind w:right="397"/>
              <w:jc w:val="both"/>
              <w:rPr>
                <w:rFonts w:ascii="Times New Roman" w:eastAsia="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menerapkan kewirausahaan dan memahami kewirausahaan berbasis teknologi.</w:t>
            </w:r>
          </w:p>
        </w:tc>
      </w:tr>
      <w:tr w:rsidR="00D301C9" w:rsidTr="00EE298D">
        <w:trPr>
          <w:jc w:val="center"/>
        </w:trPr>
        <w:tc>
          <w:tcPr>
            <w:tcW w:w="1435" w:type="dxa"/>
            <w:vMerge w:val="restart"/>
            <w:shd w:val="clear" w:color="auto" w:fill="auto"/>
          </w:tcPr>
          <w:p w:rsidR="00D301C9" w:rsidRDefault="00D301C9" w:rsidP="00EE298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Penguasaan Pengetahuan</w:t>
            </w: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420" w:type="dxa"/>
            <w:shd w:val="clear" w:color="auto" w:fill="auto"/>
          </w:tcPr>
          <w:p w:rsidR="00D301C9" w:rsidRDefault="00D301C9" w:rsidP="00EE298D">
            <w:pPr>
              <w:spacing w:after="0" w:line="240" w:lineRule="auto"/>
              <w:ind w:right="397"/>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teoretis sains alam dan prinsip dalam mengaplikasikan matematika rekayasa sebagai dasar metodologi pendekatan eksplorasi geofisika terhadap sebuah fenomena alam yang spesifik secara umum;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geologi untuk memahami proses geologi yang merupakan karakteristik  dari sebuah fenomena alam tertentu secara umum;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teoritis  statistika untuk menentukan kebolehjadian proses dari sebuah fenomena alam secara umum;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eastAsia="Times New Roman" w:hAnsi="Times New Roman" w:cs="Times New Roman"/>
                <w:color w:val="000000"/>
                <w:sz w:val="20"/>
                <w:szCs w:val="20"/>
              </w:rPr>
              <w:t>menguasai  konsep teoritis sains rekayasa (engineering sciences), prinsip-prinsip rekayasa (engineering principles) dan metode perancangan rekayasa yang diperlukan untuk analisis dan perancangan sistem, proses, produk atau komponen dalam bidang rekayasa geofisika secara mendalam;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konsep, prinsip dan teknik perancangan sistem, proses atau komponen aplikasi rekayasa geofisika secara prosedural dimulai dari pengambilan data, pengolahan, interprestasi dan pemodelan untuk menyelesaikan masalah rekayasa geofisika secara mendalam;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3.6</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operasional lengkap terkait dengan bidang teknologi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3.7</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pengetahuan faktual dan metode aplikasi teknologi; referensi teknis (kode dan standart) nasional dan internasional serta peraturan yang berlaku di wilayah kerjanya untuk melakukan pekerjaan teknologi rekayasa geofisika secara mendalam;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3.8</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sz w:val="20"/>
                <w:szCs w:val="20"/>
              </w:rPr>
            </w:pPr>
            <w:r>
              <w:rPr>
                <w:rFonts w:ascii="Times New Roman" w:hAnsi="Times New Roman" w:cs="Times New Roman"/>
                <w:color w:val="000000"/>
                <w:sz w:val="20"/>
                <w:szCs w:val="20"/>
              </w:rPr>
              <w:t>menguasai prinsip dan metode aplikasi perpetaan yang dibutuhkan dalam pekerjaan rekayasa geofisika secara umum;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3.9</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prinsip-prinsip penjaminan mutu secara umum dalam pekerjaan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3.10</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dan prinsip pelestarian lingkungan secara umum dalam kegiatan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3.11</w:t>
            </w:r>
          </w:p>
          <w:p w:rsidR="00D301C9" w:rsidRDefault="00D301C9" w:rsidP="00EE298D">
            <w:pPr>
              <w:spacing w:before="120" w:after="120" w:line="240" w:lineRule="auto"/>
              <w:jc w:val="center"/>
              <w:rPr>
                <w:rFonts w:ascii="Times New Roman" w:hAnsi="Times New Roman" w:cs="Times New Roman"/>
                <w:sz w:val="20"/>
                <w:szCs w:val="20"/>
              </w:rPr>
            </w:pP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pengetahuan faktual prinsip dan isu terkini dalam masalah ekonomi, sosial budaya dan ekologi secara umum yang mempunyai pengaruh pada bidang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3.12</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prinsip, tata cara bengkel, studio dan kegiatan laboratorium serta pelaksanaan  keselamatan,  kesehatan kerja dan lingkungan (K3L) secara umum;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3.13</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wawasan pembangunan berkelanjutan secara umum dalam penerapan metodologi eksplorasi geofisika serta pengelolaan sumber daya alam;</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3.14</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menguasai konsep umum, prinsip, dan teknik komunikasi efektif secara lisan dan tulisan untuk tujuan spesifik secara umum; dan</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3.15</w:t>
            </w:r>
          </w:p>
        </w:tc>
        <w:tc>
          <w:tcPr>
            <w:tcW w:w="3420" w:type="dxa"/>
            <w:shd w:val="clear" w:color="auto" w:fill="auto"/>
          </w:tcPr>
          <w:p w:rsidR="00D301C9" w:rsidRDefault="00D301C9" w:rsidP="00EE298D">
            <w:pPr>
              <w:spacing w:before="120" w:after="120" w:line="240" w:lineRule="auto"/>
              <w:jc w:val="both"/>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menguasai</w:t>
            </w:r>
            <w:proofErr w:type="gramEnd"/>
            <w:r>
              <w:rPr>
                <w:rFonts w:ascii="Times New Roman" w:hAnsi="Times New Roman" w:cs="Times New Roman"/>
                <w:color w:val="000000"/>
                <w:sz w:val="20"/>
                <w:szCs w:val="20"/>
              </w:rPr>
              <w:t xml:space="preserve"> pengetahuan faktual tentang perkembangan teknologi mutakhir dan material maju di bidang rekayasa geofisika secara mendalam.</w:t>
            </w:r>
          </w:p>
        </w:tc>
      </w:tr>
      <w:tr w:rsidR="00D301C9" w:rsidTr="00EE298D">
        <w:trPr>
          <w:jc w:val="center"/>
        </w:trPr>
        <w:tc>
          <w:tcPr>
            <w:tcW w:w="1435" w:type="dxa"/>
            <w:vMerge w:val="restart"/>
            <w:shd w:val="clear" w:color="auto" w:fill="auto"/>
          </w:tcPr>
          <w:p w:rsidR="00D301C9" w:rsidRDefault="00D301C9" w:rsidP="00EE298D">
            <w:pPr>
              <w:spacing w:after="0" w:line="240" w:lineRule="auto"/>
              <w:rPr>
                <w:rFonts w:ascii="Times New Roman" w:hAnsi="Times New Roman" w:cs="Times New Roman"/>
                <w:b/>
                <w:sz w:val="20"/>
                <w:szCs w:val="20"/>
              </w:rPr>
            </w:pPr>
            <w:r>
              <w:rPr>
                <w:rFonts w:ascii="Times New Roman" w:hAnsi="Times New Roman" w:cs="Times New Roman"/>
                <w:b/>
                <w:sz w:val="20"/>
                <w:szCs w:val="20"/>
              </w:rPr>
              <w:t>Ketrampilan Khusus</w:t>
            </w: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w:t>
            </w:r>
          </w:p>
        </w:tc>
        <w:tc>
          <w:tcPr>
            <w:tcW w:w="3420" w:type="dxa"/>
            <w:shd w:val="clear" w:color="auto" w:fill="auto"/>
          </w:tcPr>
          <w:p w:rsidR="00D301C9" w:rsidRDefault="00D301C9" w:rsidP="00EE298D">
            <w:pPr>
              <w:spacing w:after="0" w:line="240" w:lineRule="auto"/>
              <w:ind w:right="397"/>
              <w:rPr>
                <w:rFonts w:ascii="Times New Roman" w:hAnsi="Times New Roman" w:cs="Times New Roman"/>
                <w:color w:val="000000"/>
                <w:sz w:val="20"/>
                <w:szCs w:val="20"/>
              </w:rPr>
            </w:pPr>
            <w:r>
              <w:rPr>
                <w:rFonts w:ascii="Times New Roman" w:hAnsi="Times New Roman" w:cs="Times New Roman"/>
                <w:color w:val="000000"/>
                <w:sz w:val="20"/>
                <w:szCs w:val="20"/>
              </w:rPr>
              <w:t>mampu menerapkan prinsip-prinsip matematika, sains, dan prinsip rekayasa (engineering principles) ke dalam prosedur, proses, sistem, atau metodologi rekayasa geofisika untuk membuat atau memodifikasi model dalam menyelesaikan masalah rekayasa kompleks (complex engineering problem) di bidang lingkungan, pemukiman, kelautan dan energi  dengan konsep pembangunan berkelanjutan (sustainable development);</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menemukan sumber masalah rekayasa melalui proses penyelidikan, analisis,  interpretasi data dan informasi </w:t>
            </w:r>
            <w:r>
              <w:rPr>
                <w:rFonts w:ascii="Times New Roman" w:hAnsi="Times New Roman" w:cs="Times New Roman"/>
                <w:color w:val="000000"/>
                <w:sz w:val="20"/>
                <w:szCs w:val="20"/>
              </w:rPr>
              <w:lastRenderedPageBreak/>
              <w:t>berdasarkan prinsip-prinsip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4.3</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melakukan riset yang mencakup identifikasi, formulasi, dan analisis masalah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merumuskan alternatif solusi untuk menyelesaikan masalah rekayasa geofisika kompleks dengan memperhatikan faktor-faktor ekonomi, kesehatan, keselamatan publik, kultural, sosial dan lingkungan;</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4.5</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merancang sistem, proses dan komponen dengan pendekatan analitis dan mempertimbangkan standar teknis, aspek kinerja, keandalan, kemudahan penerapan, keberlanjutan serta memperhatikan faktor ekonomi, kesehatan dan keselamatan publik, kultural, sosial dan lingkungan;</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4.6</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memilih sumber daya dan memanfaatkan perangkat perancangan dan analisis rekayasa geofisika berbasis teknologi informasi dan komputasi yang sesuai untuk melakukan aktivitas rekayasa geofisika;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4.7</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meningkatkan kinerja, kualitas atau mutu suatu proses melalui pengujian, pengukuran obyek, kerja, analisis, interpretasi data sesuai prosedur dan standar kegiatan eksplorasi geofisika dengan memeperhatikan kaidah geologi dan tujuan eksplorasi;</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4.8</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menggunakan teknologi mutakhir dalam melaksanakan pekerjaan rekayasa geofisika di bidang lingkungan, pemukiman, kelautan dan energi;</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mengenali perbedaan karakteristik medan eksplorasi darat dan laut yang dapat berpengaruh terhadap kualitas data hasil pengukuran;</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4.10</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mampu mengorganisasi data dan menyajikannya kembali dengan memanfaatkan teknologi informasi yang sesuai dengan kebutuhannya;</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4.11</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 xml:space="preserve">mampu membaca peta dan citra satelit serta menentukan orientasi peta di </w:t>
            </w:r>
            <w:r>
              <w:rPr>
                <w:rFonts w:ascii="Times New Roman" w:hAnsi="Times New Roman" w:cs="Times New Roman"/>
                <w:color w:val="000000"/>
                <w:sz w:val="20"/>
                <w:szCs w:val="20"/>
              </w:rPr>
              <w:lastRenderedPageBreak/>
              <w:t>lapangan menggunakan  GPS, kompas dan data satelit; dan</w:t>
            </w:r>
          </w:p>
        </w:tc>
      </w:tr>
      <w:tr w:rsidR="00D301C9" w:rsidTr="00EE298D">
        <w:trPr>
          <w:jc w:val="center"/>
        </w:trPr>
        <w:tc>
          <w:tcPr>
            <w:tcW w:w="1435" w:type="dxa"/>
            <w:vMerge/>
            <w:shd w:val="clear" w:color="auto" w:fill="auto"/>
          </w:tcPr>
          <w:p w:rsidR="00D301C9" w:rsidRDefault="00D301C9" w:rsidP="00EE298D">
            <w:pPr>
              <w:spacing w:after="0" w:line="240" w:lineRule="auto"/>
              <w:jc w:val="both"/>
              <w:rPr>
                <w:rFonts w:ascii="Times New Roman" w:hAnsi="Times New Roman" w:cs="Times New Roman"/>
                <w:b/>
                <w:sz w:val="20"/>
                <w:szCs w:val="20"/>
              </w:rPr>
            </w:pPr>
          </w:p>
        </w:tc>
        <w:tc>
          <w:tcPr>
            <w:tcW w:w="630" w:type="dxa"/>
            <w:shd w:val="clear" w:color="auto" w:fill="auto"/>
          </w:tcPr>
          <w:p w:rsidR="00D301C9" w:rsidRDefault="00D301C9" w:rsidP="00EE298D">
            <w:pPr>
              <w:spacing w:before="120" w:after="120" w:line="240" w:lineRule="auto"/>
              <w:jc w:val="center"/>
              <w:rPr>
                <w:rFonts w:ascii="Times New Roman" w:hAnsi="Times New Roman" w:cs="Times New Roman"/>
                <w:sz w:val="20"/>
                <w:szCs w:val="20"/>
              </w:rPr>
            </w:pPr>
            <w:r>
              <w:rPr>
                <w:rFonts w:ascii="Times New Roman" w:hAnsi="Times New Roman" w:cs="Times New Roman"/>
                <w:sz w:val="20"/>
                <w:szCs w:val="20"/>
              </w:rPr>
              <w:t>4.12</w:t>
            </w:r>
          </w:p>
        </w:tc>
        <w:tc>
          <w:tcPr>
            <w:tcW w:w="3420" w:type="dxa"/>
            <w:shd w:val="clear" w:color="auto" w:fill="auto"/>
          </w:tcPr>
          <w:p w:rsidR="00D301C9" w:rsidRDefault="00D301C9" w:rsidP="00EE298D">
            <w:pPr>
              <w:spacing w:before="120" w:after="120" w:line="240" w:lineRule="auto"/>
              <w:rPr>
                <w:rFonts w:ascii="Times New Roman" w:hAnsi="Times New Roman" w:cs="Times New Roman"/>
                <w:color w:val="000000"/>
                <w:sz w:val="20"/>
                <w:szCs w:val="20"/>
              </w:rPr>
            </w:pPr>
            <w:proofErr w:type="gramStart"/>
            <w:r>
              <w:rPr>
                <w:rFonts w:ascii="Times New Roman" w:hAnsi="Times New Roman" w:cs="Times New Roman"/>
                <w:color w:val="000000"/>
                <w:sz w:val="20"/>
                <w:szCs w:val="20"/>
              </w:rPr>
              <w:t>mampu</w:t>
            </w:r>
            <w:proofErr w:type="gramEnd"/>
            <w:r>
              <w:rPr>
                <w:rFonts w:ascii="Times New Roman" w:hAnsi="Times New Roman" w:cs="Times New Roman"/>
                <w:color w:val="000000"/>
                <w:sz w:val="20"/>
                <w:szCs w:val="20"/>
              </w:rPr>
              <w:t xml:space="preserve"> mengkritisi prosedur operasional lengkap dalam penyelesaian masalah teknologi rekayasa geofisika  yang telah dan/atau sedang diterapkan, dan dituangkan dalam bentuk kertas kerja ilmiah.</w:t>
            </w:r>
          </w:p>
        </w:tc>
      </w:tr>
    </w:tbl>
    <w:p w:rsidR="00E5547D" w:rsidRDefault="00E5547D"/>
    <w:p w:rsidR="00D301C9" w:rsidRPr="00D301C9" w:rsidRDefault="00D301C9" w:rsidP="00D301C9">
      <w:pPr>
        <w:pStyle w:val="Heading1"/>
        <w:rPr>
          <w:b/>
          <w:sz w:val="20"/>
          <w:szCs w:val="20"/>
        </w:rPr>
      </w:pPr>
      <w:r w:rsidRPr="00D301C9">
        <w:rPr>
          <w:b/>
          <w:sz w:val="20"/>
          <w:szCs w:val="20"/>
        </w:rPr>
        <w:t xml:space="preserve">2.3 </w:t>
      </w:r>
      <w:r w:rsidRPr="00D301C9">
        <w:rPr>
          <w:b/>
          <w:sz w:val="20"/>
          <w:szCs w:val="20"/>
        </w:rPr>
        <w:t>Assesment Pembelajaran</w:t>
      </w:r>
    </w:p>
    <w:p w:rsidR="00D301C9" w:rsidRPr="00D301C9" w:rsidRDefault="00D301C9" w:rsidP="00D301C9">
      <w:pPr>
        <w:jc w:val="both"/>
        <w:rPr>
          <w:lang w:val="id-ID"/>
        </w:rPr>
      </w:pPr>
      <w:r w:rsidRPr="00D375CC">
        <w:rPr>
          <w:rFonts w:ascii="Times New Roman" w:hAnsi="Times New Roman" w:cs="Times New Roman"/>
          <w:sz w:val="20"/>
          <w:szCs w:val="20"/>
        </w:rPr>
        <w:t>Assessment pembelajaran terlampir di dalam Rencana Pembelajaran Semester. Assessment dilaksanakan minimal 2 kali dalam satu semester yaitu evaluasi tengah semester dan evaluasi akhir semester. Bentuk lainnya adalah kuis, tugas individu atau kelompok, pre</w:t>
      </w:r>
      <w:r>
        <w:rPr>
          <w:rFonts w:ascii="Times New Roman" w:hAnsi="Times New Roman" w:cs="Times New Roman"/>
          <w:sz w:val="20"/>
          <w:szCs w:val="20"/>
        </w:rPr>
        <w:t>sentasi, praktikum dan lainnya</w:t>
      </w:r>
      <w:bookmarkStart w:id="0" w:name="_GoBack"/>
      <w:bookmarkEnd w:id="0"/>
    </w:p>
    <w:sectPr w:rsidR="00D301C9" w:rsidRPr="00D301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7713" w:rsidRDefault="00D301C9">
    <w:pPr>
      <w:pStyle w:val="Footer"/>
    </w:pPr>
  </w:p>
  <w:p w:rsidR="00B07713" w:rsidRDefault="00D301C9">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00E67"/>
    <w:multiLevelType w:val="multilevel"/>
    <w:tmpl w:val="12B00E6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6B56C9E"/>
    <w:multiLevelType w:val="multilevel"/>
    <w:tmpl w:val="36B56C9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56873875"/>
    <w:multiLevelType w:val="multilevel"/>
    <w:tmpl w:val="5687387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7CC14B24"/>
    <w:multiLevelType w:val="multilevel"/>
    <w:tmpl w:val="7CC14B24"/>
    <w:lvl w:ilvl="0">
      <w:start w:val="1"/>
      <w:numFmt w:val="upperRoman"/>
      <w:lvlText w:val="%1."/>
      <w:lvlJc w:val="left"/>
      <w:pPr>
        <w:ind w:left="1080" w:hanging="720"/>
      </w:pPr>
      <w:rPr>
        <w:rFonts w:hint="default"/>
      </w:rPr>
    </w:lvl>
    <w:lvl w:ilvl="1">
      <w:start w:val="1"/>
      <w:numFmt w:val="decimal"/>
      <w:isLgl/>
      <w:lvlText w:val="%1.%2."/>
      <w:lvlJc w:val="left"/>
      <w:pPr>
        <w:ind w:left="351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C9"/>
    <w:rsid w:val="00754FD6"/>
    <w:rsid w:val="00D301C9"/>
    <w:rsid w:val="00E554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29485-F7B9-4735-A094-A95B1EFF8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01C9"/>
    <w:rPr>
      <w:lang w:val="en-US"/>
    </w:rPr>
  </w:style>
  <w:style w:type="paragraph" w:styleId="Heading1">
    <w:name w:val="heading 1"/>
    <w:basedOn w:val="Normal"/>
    <w:next w:val="Normal"/>
    <w:link w:val="Heading1Char"/>
    <w:uiPriority w:val="9"/>
    <w:qFormat/>
    <w:rsid w:val="00D301C9"/>
    <w:pPr>
      <w:keepNext/>
      <w:keepLines/>
      <w:spacing w:before="240" w:after="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unhideWhenUsed/>
    <w:qFormat/>
    <w:rsid w:val="00D301C9"/>
    <w:pPr>
      <w:keepNext/>
      <w:keepLines/>
      <w:spacing w:before="40" w:after="0"/>
      <w:outlineLvl w:val="1"/>
    </w:pPr>
    <w:rPr>
      <w:rFonts w:ascii="Times New Roman" w:eastAsiaTheme="majorEastAsia" w:hAnsi="Times New Roman"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301C9"/>
    <w:rPr>
      <w:rFonts w:ascii="Times New Roman" w:eastAsiaTheme="majorEastAsia" w:hAnsi="Times New Roman" w:cstheme="majorBidi"/>
      <w:sz w:val="32"/>
      <w:szCs w:val="32"/>
      <w:lang w:val="en-US"/>
    </w:rPr>
  </w:style>
  <w:style w:type="character" w:customStyle="1" w:styleId="Heading2Char">
    <w:name w:val="Heading 2 Char"/>
    <w:basedOn w:val="DefaultParagraphFont"/>
    <w:link w:val="Heading2"/>
    <w:uiPriority w:val="9"/>
    <w:qFormat/>
    <w:rsid w:val="00D301C9"/>
    <w:rPr>
      <w:rFonts w:ascii="Times New Roman" w:eastAsiaTheme="majorEastAsia" w:hAnsi="Times New Roman" w:cstheme="majorBidi"/>
      <w:sz w:val="26"/>
      <w:szCs w:val="26"/>
      <w:lang w:val="en-US"/>
    </w:rPr>
  </w:style>
  <w:style w:type="paragraph" w:styleId="Footer">
    <w:name w:val="footer"/>
    <w:basedOn w:val="Normal"/>
    <w:link w:val="FooterChar"/>
    <w:uiPriority w:val="99"/>
    <w:unhideWhenUsed/>
    <w:qFormat/>
    <w:rsid w:val="00D301C9"/>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D301C9"/>
    <w:rPr>
      <w:lang w:val="en-US"/>
    </w:rPr>
  </w:style>
  <w:style w:type="paragraph" w:styleId="Title">
    <w:name w:val="Title"/>
    <w:basedOn w:val="Normal"/>
    <w:next w:val="Normal"/>
    <w:link w:val="TitleChar"/>
    <w:uiPriority w:val="10"/>
    <w:qFormat/>
    <w:rsid w:val="00D301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301C9"/>
    <w:rPr>
      <w:rFonts w:asciiTheme="majorHAnsi" w:eastAsiaTheme="majorEastAsia" w:hAnsiTheme="majorHAnsi" w:cstheme="majorBidi"/>
      <w:spacing w:val="-10"/>
      <w:kern w:val="28"/>
      <w:sz w:val="56"/>
      <w:szCs w:val="56"/>
      <w:lang w:val="en-US"/>
    </w:rPr>
  </w:style>
  <w:style w:type="paragraph" w:styleId="ListParagraph">
    <w:name w:val="List Paragraph"/>
    <w:basedOn w:val="Normal"/>
    <w:link w:val="ListParagraphChar"/>
    <w:uiPriority w:val="34"/>
    <w:qFormat/>
    <w:rsid w:val="00D301C9"/>
    <w:pPr>
      <w:ind w:left="720"/>
      <w:contextualSpacing/>
    </w:pPr>
  </w:style>
  <w:style w:type="character" w:customStyle="1" w:styleId="ListParagraphChar">
    <w:name w:val="List Paragraph Char"/>
    <w:basedOn w:val="DefaultParagraphFont"/>
    <w:link w:val="ListParagraph"/>
    <w:uiPriority w:val="34"/>
    <w:qFormat/>
    <w:rsid w:val="00D301C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t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1</cp:revision>
  <dcterms:created xsi:type="dcterms:W3CDTF">2019-10-14T01:34:00Z</dcterms:created>
  <dcterms:modified xsi:type="dcterms:W3CDTF">2019-10-14T01:37:00Z</dcterms:modified>
</cp:coreProperties>
</file>