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hd w:fill="ffffff" w:val="clear"/>
        <w:spacing w:after="0" w:before="0" w:lineRule="auto"/>
        <w:rPr>
          <w:sz w:val="40"/>
          <w:szCs w:val="40"/>
        </w:rPr>
      </w:pPr>
      <w:bookmarkStart w:colFirst="0" w:colLast="0" w:name="_5h00hjbxvqql" w:id="0"/>
      <w:bookmarkEnd w:id="0"/>
      <w:r w:rsidDel="00000000" w:rsidR="00000000" w:rsidRPr="00000000">
        <w:rPr>
          <w:sz w:val="40"/>
          <w:szCs w:val="40"/>
          <w:rtl w:val="0"/>
        </w:rPr>
        <w:t xml:space="preserve">2026 Global Fishing Watch Open Ocean Research Grant Program Potential Topics</w:t>
      </w:r>
    </w:p>
    <w:p w:rsidR="00000000" w:rsidDel="00000000" w:rsidP="00000000" w:rsidRDefault="00000000" w:rsidRPr="00000000" w14:paraId="00000002">
      <w:pPr>
        <w:pStyle w:val="Heading1"/>
        <w:shd w:fill="ffffff" w:val="clear"/>
        <w:spacing w:after="160" w:before="0" w:lineRule="auto"/>
        <w:rPr/>
      </w:pPr>
      <w:bookmarkStart w:colFirst="0" w:colLast="0" w:name="_kayxg2evw6yd" w:id="1"/>
      <w:bookmarkEnd w:id="1"/>
      <w:r w:rsidDel="00000000" w:rsidR="00000000" w:rsidRPr="00000000">
        <w:rPr>
          <w:rtl w:val="0"/>
        </w:rPr>
      </w:r>
    </w:p>
    <w:p w:rsidR="00000000" w:rsidDel="00000000" w:rsidP="00000000" w:rsidRDefault="00000000" w:rsidRPr="00000000" w14:paraId="00000003">
      <w:pPr>
        <w:pStyle w:val="Heading2"/>
        <w:rPr/>
      </w:pPr>
      <w:bookmarkStart w:colFirst="0" w:colLast="0" w:name="_en2cfe9x1hue" w:id="2"/>
      <w:bookmarkEnd w:id="2"/>
      <w:r w:rsidDel="00000000" w:rsidR="00000000" w:rsidRPr="00000000">
        <w:rPr>
          <w:rtl w:val="0"/>
        </w:rPr>
        <w:t xml:space="preserve">1. Advancing data for sustainable fisheries </w:t>
      </w:r>
    </w:p>
    <w:p w:rsidR="00000000" w:rsidDel="00000000" w:rsidP="00000000" w:rsidRDefault="00000000" w:rsidRPr="00000000" w14:paraId="00000004">
      <w:pPr>
        <w:rPr>
          <w:sz w:val="22"/>
          <w:szCs w:val="22"/>
          <w:shd w:fill="f0f4f9" w:val="clear"/>
        </w:rPr>
      </w:pPr>
      <w:r w:rsidDel="00000000" w:rsidR="00000000" w:rsidRPr="00000000">
        <w:rPr>
          <w:sz w:val="22"/>
          <w:szCs w:val="22"/>
          <w:highlight w:val="white"/>
          <w:rtl w:val="0"/>
        </w:rPr>
        <w:t xml:space="preserve">This area focuses on using Global Fishing Watch fishing models to understand and predict fishing effort, behavior, and movement, compare with other data sources </w:t>
      </w:r>
      <w:r w:rsidDel="00000000" w:rsidR="00000000" w:rsidRPr="00000000">
        <w:rPr>
          <w:sz w:val="22"/>
          <w:szCs w:val="22"/>
          <w:highlight w:val="white"/>
          <w:rtl w:val="0"/>
        </w:rPr>
        <w:t xml:space="preserve">and</w:t>
      </w:r>
      <w:r w:rsidDel="00000000" w:rsidR="00000000" w:rsidRPr="00000000">
        <w:rPr>
          <w:sz w:val="22"/>
          <w:szCs w:val="22"/>
          <w:highlight w:val="white"/>
          <w:rtl w:val="0"/>
        </w:rPr>
        <w:t xml:space="preserve"> expand their use in different topics linked to fisheries management. </w:t>
      </w:r>
      <w:r w:rsidDel="00000000" w:rsidR="00000000" w:rsidRPr="00000000">
        <w:rPr>
          <w:rtl w:val="0"/>
        </w:rPr>
      </w:r>
    </w:p>
    <w:p w:rsidR="00000000" w:rsidDel="00000000" w:rsidP="00000000" w:rsidRDefault="00000000" w:rsidRPr="00000000" w14:paraId="00000005">
      <w:pPr>
        <w:numPr>
          <w:ilvl w:val="0"/>
          <w:numId w:val="5"/>
        </w:numPr>
        <w:shd w:fill="ffffff" w:val="clear"/>
        <w:spacing w:after="0" w:afterAutospacing="0"/>
        <w:ind w:left="720" w:hanging="360"/>
        <w:rPr>
          <w:color w:val="434343"/>
          <w:sz w:val="22"/>
          <w:szCs w:val="22"/>
        </w:rPr>
      </w:pPr>
      <w:r w:rsidDel="00000000" w:rsidR="00000000" w:rsidRPr="00000000">
        <w:rPr>
          <w:b w:val="1"/>
          <w:bCs w:val="1"/>
          <w:sz w:val="22"/>
          <w:szCs w:val="22"/>
          <w:rtl w:val="0"/>
        </w:rPr>
        <w:t xml:space="preserve">On the water validation:</w:t>
      </w:r>
      <w:r w:rsidDel="00000000" w:rsidR="00000000" w:rsidRPr="00000000">
        <w:rPr>
          <w:sz w:val="22"/>
          <w:szCs w:val="22"/>
          <w:rtl w:val="0"/>
        </w:rPr>
        <w:t xml:space="preserve"> Compare GFW-predicted fishing activity with external ground-truth sources across different regions. Examples of external data can be: user-provided VMS tracks, EM (Electronic Monitoring), logbook and observer data. Validation can also include vessel identity, for example, mapping re</w:t>
      </w:r>
      <w:r w:rsidDel="00000000" w:rsidR="00000000" w:rsidRPr="00000000">
        <w:rPr>
          <w:sz w:val="22"/>
          <w:szCs w:val="22"/>
          <w:rtl w:val="0"/>
        </w:rPr>
        <w:t xml:space="preserve">gional vessel classe</w:t>
      </w:r>
      <w:r w:rsidDel="00000000" w:rsidR="00000000" w:rsidRPr="00000000">
        <w:rPr>
          <w:sz w:val="22"/>
          <w:szCs w:val="22"/>
          <w:rtl w:val="0"/>
        </w:rPr>
        <w:t xml:space="preserve">s to Global Fishing Watch vessel classes and matching registries with our datasets to assess vessel classification.</w:t>
      </w:r>
    </w:p>
    <w:p w:rsidR="00000000" w:rsidDel="00000000" w:rsidP="00000000" w:rsidRDefault="00000000" w:rsidRPr="00000000" w14:paraId="00000006">
      <w:pPr>
        <w:numPr>
          <w:ilvl w:val="0"/>
          <w:numId w:val="5"/>
        </w:numPr>
        <w:shd w:fill="ffffff" w:val="clear"/>
        <w:spacing w:after="0" w:afterAutospacing="0" w:before="0" w:beforeAutospacing="0"/>
        <w:ind w:left="720" w:hanging="360"/>
        <w:rPr>
          <w:color w:val="434343"/>
          <w:sz w:val="22"/>
          <w:szCs w:val="22"/>
        </w:rPr>
      </w:pPr>
      <w:r w:rsidDel="00000000" w:rsidR="00000000" w:rsidRPr="00000000">
        <w:rPr>
          <w:b w:val="1"/>
          <w:bCs w:val="1"/>
          <w:sz w:val="22"/>
          <w:szCs w:val="22"/>
          <w:rtl w:val="0"/>
        </w:rPr>
        <w:t xml:space="preserve">Regional fleet</w:t>
      </w:r>
      <w:r w:rsidDel="00000000" w:rsidR="00000000" w:rsidRPr="00000000">
        <w:rPr>
          <w:b w:val="1"/>
          <w:bCs w:val="1"/>
          <w:sz w:val="22"/>
          <w:szCs w:val="22"/>
          <w:rtl w:val="0"/>
        </w:rPr>
        <w:t xml:space="preserve"> analysis: </w:t>
      </w:r>
      <w:r w:rsidDel="00000000" w:rsidR="00000000" w:rsidRPr="00000000">
        <w:rPr>
          <w:sz w:val="22"/>
          <w:szCs w:val="22"/>
          <w:rtl w:val="0"/>
        </w:rPr>
        <w:t xml:space="preserve">Analyze vessel patterns at the regional scale to identify fleets–vessels that share </w:t>
      </w:r>
      <w:r w:rsidDel="00000000" w:rsidR="00000000" w:rsidRPr="00000000">
        <w:rPr>
          <w:sz w:val="22"/>
          <w:szCs w:val="22"/>
          <w:rtl w:val="0"/>
        </w:rPr>
        <w:t xml:space="preserve">behavior, gear types, sizes, and seasonal patterns fishing for specific target species.</w:t>
      </w:r>
      <w:r w:rsidDel="00000000" w:rsidR="00000000" w:rsidRPr="00000000">
        <w:rPr>
          <w:rtl w:val="0"/>
        </w:rPr>
      </w:r>
    </w:p>
    <w:p w:rsidR="00000000" w:rsidDel="00000000" w:rsidP="00000000" w:rsidRDefault="00000000" w:rsidRPr="00000000" w14:paraId="00000007">
      <w:pPr>
        <w:numPr>
          <w:ilvl w:val="0"/>
          <w:numId w:val="5"/>
        </w:numPr>
        <w:shd w:fill="ffffff" w:val="clear"/>
        <w:spacing w:after="0" w:afterAutospacing="0" w:before="0" w:beforeAutospacing="0"/>
        <w:ind w:left="720" w:hanging="360"/>
        <w:rPr>
          <w:color w:val="434343"/>
          <w:sz w:val="22"/>
          <w:szCs w:val="22"/>
        </w:rPr>
      </w:pPr>
      <w:r w:rsidDel="00000000" w:rsidR="00000000" w:rsidRPr="00000000">
        <w:rPr>
          <w:b w:val="1"/>
          <w:bCs w:val="1"/>
          <w:sz w:val="22"/>
          <w:szCs w:val="22"/>
          <w:rtl w:val="0"/>
        </w:rPr>
        <w:t xml:space="preserve">Trawling extent and impacts</w:t>
      </w:r>
      <w:r w:rsidDel="00000000" w:rsidR="00000000" w:rsidRPr="00000000">
        <w:rPr>
          <w:b w:val="1"/>
          <w:bCs w:val="1"/>
          <w:sz w:val="22"/>
          <w:szCs w:val="22"/>
          <w:rtl w:val="0"/>
        </w:rPr>
        <w:t xml:space="preserve">:</w:t>
      </w:r>
      <w:r w:rsidDel="00000000" w:rsidR="00000000" w:rsidRPr="00000000">
        <w:rPr>
          <w:sz w:val="22"/>
          <w:szCs w:val="22"/>
          <w:rtl w:val="0"/>
        </w:rPr>
        <w:t xml:space="preserve"> Use trawler-specific model outputs to characterize bottom- and midwater trawling across regions and assess their extent and impacts.</w:t>
      </w:r>
    </w:p>
    <w:p w:rsidR="00000000" w:rsidDel="00000000" w:rsidP="00000000" w:rsidRDefault="00000000" w:rsidRPr="00000000" w14:paraId="00000008">
      <w:pPr>
        <w:numPr>
          <w:ilvl w:val="0"/>
          <w:numId w:val="5"/>
        </w:numPr>
        <w:shd w:fill="ffffff" w:val="clear"/>
        <w:spacing w:after="0" w:afterAutospacing="0" w:before="0" w:beforeAutospacing="0"/>
        <w:ind w:left="720" w:hanging="360"/>
        <w:rPr>
          <w:color w:val="434343"/>
          <w:sz w:val="22"/>
          <w:szCs w:val="22"/>
        </w:rPr>
      </w:pPr>
      <w:r w:rsidDel="00000000" w:rsidR="00000000" w:rsidRPr="00000000">
        <w:rPr>
          <w:b w:val="1"/>
          <w:bCs w:val="1"/>
          <w:sz w:val="22"/>
          <w:szCs w:val="22"/>
          <w:rtl w:val="0"/>
        </w:rPr>
        <w:t xml:space="preserve">Role and expansion of aquaculture:</w:t>
      </w:r>
      <w:r w:rsidDel="00000000" w:rsidR="00000000" w:rsidRPr="00000000">
        <w:rPr>
          <w:sz w:val="22"/>
          <w:szCs w:val="22"/>
          <w:rtl w:val="0"/>
        </w:rPr>
        <w:t xml:space="preserve"> Compare fixed infrastructure datasets with data on the ground to identify aquaculture structures, analyze the dynamics of expansion and the effects of aquaculture implementation on fishing patterns and other activities.</w:t>
      </w:r>
    </w:p>
    <w:p w:rsidR="00000000" w:rsidDel="00000000" w:rsidP="00000000" w:rsidRDefault="00000000" w:rsidRPr="00000000" w14:paraId="00000009">
      <w:pPr>
        <w:numPr>
          <w:ilvl w:val="0"/>
          <w:numId w:val="5"/>
        </w:numPr>
        <w:shd w:fill="ffffff" w:val="clear"/>
        <w:spacing w:before="0" w:beforeAutospacing="0"/>
        <w:ind w:left="720" w:hanging="360"/>
        <w:rPr>
          <w:b w:val="1"/>
          <w:bCs w:val="1"/>
          <w:color w:val="434343"/>
          <w:sz w:val="22"/>
          <w:szCs w:val="22"/>
        </w:rPr>
      </w:pPr>
      <w:r w:rsidDel="00000000" w:rsidR="00000000" w:rsidRPr="00000000">
        <w:rPr>
          <w:b w:val="1"/>
          <w:bCs w:val="1"/>
          <w:sz w:val="22"/>
          <w:szCs w:val="22"/>
          <w:rtl w:val="0"/>
        </w:rPr>
        <w:t xml:space="preserve">RFMOs and fisheries management tools: </w:t>
      </w:r>
      <w:r w:rsidDel="00000000" w:rsidR="00000000" w:rsidRPr="00000000">
        <w:rPr>
          <w:sz w:val="22"/>
          <w:szCs w:val="22"/>
          <w:rtl w:val="0"/>
        </w:rPr>
        <w:t xml:space="preserve">Analyze how AIS can inform stock management/management strategy evaluations in RFMOs for key stocks and how AIS can be used as a complementary tool to VMS in RFMOs.</w:t>
      </w:r>
      <w:r w:rsidDel="00000000" w:rsidR="00000000" w:rsidRPr="00000000">
        <w:rPr>
          <w:rtl w:val="0"/>
        </w:rPr>
      </w:r>
    </w:p>
    <w:p w:rsidR="00000000" w:rsidDel="00000000" w:rsidP="00000000" w:rsidRDefault="00000000" w:rsidRPr="00000000" w14:paraId="0000000A">
      <w:pPr>
        <w:shd w:fill="ffffff" w:val="clear"/>
        <w:ind w:left="720" w:firstLine="0"/>
        <w:rPr>
          <w:sz w:val="21"/>
          <w:szCs w:val="21"/>
        </w:rPr>
      </w:pPr>
      <w:r w:rsidDel="00000000" w:rsidR="00000000" w:rsidRPr="00000000">
        <w:rPr>
          <w:rtl w:val="0"/>
        </w:rPr>
      </w:r>
    </w:p>
    <w:p w:rsidR="00000000" w:rsidDel="00000000" w:rsidP="00000000" w:rsidRDefault="00000000" w:rsidRPr="00000000" w14:paraId="0000000B">
      <w:pPr>
        <w:pStyle w:val="Heading2"/>
        <w:rPr>
          <w:color w:val="434343"/>
        </w:rPr>
      </w:pPr>
      <w:bookmarkStart w:colFirst="0" w:colLast="0" w:name="_aj1ncspdvp71" w:id="3"/>
      <w:bookmarkEnd w:id="3"/>
      <w:r w:rsidDel="00000000" w:rsidR="00000000" w:rsidRPr="00000000">
        <w:rPr>
          <w:color w:val="434343"/>
          <w:rtl w:val="0"/>
        </w:rPr>
        <w:t xml:space="preserve">2. Reveal novel aspects of human activity at sea</w:t>
      </w:r>
    </w:p>
    <w:p w:rsidR="00000000" w:rsidDel="00000000" w:rsidP="00000000" w:rsidRDefault="00000000" w:rsidRPr="00000000" w14:paraId="0000000C">
      <w:pPr>
        <w:rPr>
          <w:sz w:val="22"/>
          <w:szCs w:val="22"/>
          <w:shd w:fill="f0f4f9" w:val="clear"/>
        </w:rPr>
      </w:pPr>
      <w:r w:rsidDel="00000000" w:rsidR="00000000" w:rsidRPr="00000000">
        <w:rPr>
          <w:sz w:val="22"/>
          <w:szCs w:val="22"/>
          <w:highlight w:val="white"/>
          <w:rtl w:val="0"/>
        </w:rPr>
        <w:t xml:space="preserve">Research in this domain aims to support our strategic goal to</w:t>
      </w:r>
      <w:r w:rsidDel="00000000" w:rsidR="00000000" w:rsidRPr="00000000">
        <w:rPr>
          <w:sz w:val="22"/>
          <w:szCs w:val="22"/>
          <w:highlight w:val="white"/>
          <w:rtl w:val="0"/>
        </w:rPr>
        <w:t xml:space="preserve"> map all human activity at sea</w:t>
      </w:r>
      <w:r w:rsidDel="00000000" w:rsidR="00000000" w:rsidRPr="00000000">
        <w:rPr>
          <w:sz w:val="22"/>
          <w:szCs w:val="22"/>
          <w:highlight w:val="white"/>
          <w:rtl w:val="0"/>
        </w:rPr>
        <w:t xml:space="preserve">, with a special emphasis on the </w:t>
      </w:r>
      <w:r w:rsidDel="00000000" w:rsidR="00000000" w:rsidRPr="00000000">
        <w:rPr>
          <w:sz w:val="22"/>
          <w:szCs w:val="22"/>
          <w:highlight w:val="white"/>
          <w:rtl w:val="0"/>
        </w:rPr>
        <w:t xml:space="preserve">Blue Economy</w:t>
      </w:r>
      <w:r w:rsidDel="00000000" w:rsidR="00000000" w:rsidRPr="00000000">
        <w:rPr>
          <w:sz w:val="22"/>
          <w:szCs w:val="22"/>
          <w:highlight w:val="white"/>
          <w:rtl w:val="0"/>
        </w:rPr>
        <w:t xml:space="preserve">.</w:t>
      </w:r>
      <w:r w:rsidDel="00000000" w:rsidR="00000000" w:rsidRPr="00000000">
        <w:rPr>
          <w:rtl w:val="0"/>
        </w:rPr>
      </w:r>
    </w:p>
    <w:p w:rsidR="00000000" w:rsidDel="00000000" w:rsidP="00000000" w:rsidRDefault="00000000" w:rsidRPr="00000000" w14:paraId="0000000D">
      <w:pPr>
        <w:numPr>
          <w:ilvl w:val="0"/>
          <w:numId w:val="3"/>
        </w:numPr>
        <w:shd w:fill="ffffff" w:val="clear"/>
        <w:spacing w:after="0" w:afterAutospacing="0"/>
        <w:ind w:left="720" w:hanging="360"/>
        <w:rPr>
          <w:color w:val="434343"/>
          <w:sz w:val="22"/>
          <w:szCs w:val="22"/>
        </w:rPr>
      </w:pPr>
      <w:r w:rsidDel="00000000" w:rsidR="00000000" w:rsidRPr="00000000">
        <w:rPr>
          <w:b w:val="1"/>
          <w:bCs w:val="1"/>
          <w:sz w:val="22"/>
          <w:szCs w:val="22"/>
          <w:rtl w:val="0"/>
        </w:rPr>
        <w:t xml:space="preserve">Marine Spatial Planning and Management:</w:t>
      </w:r>
      <w:r w:rsidDel="00000000" w:rsidR="00000000" w:rsidRPr="00000000">
        <w:rPr>
          <w:sz w:val="22"/>
          <w:szCs w:val="22"/>
          <w:rtl w:val="0"/>
        </w:rPr>
        <w:t xml:space="preserve"> </w:t>
      </w:r>
      <w:r w:rsidDel="00000000" w:rsidR="00000000" w:rsidRPr="00000000">
        <w:rPr>
          <w:sz w:val="22"/>
          <w:szCs w:val="22"/>
          <w:rtl w:val="0"/>
        </w:rPr>
        <w:t xml:space="preserve">Use Global Fishing Watch vessel activity, fixed infrastructure, and imagery data to analyze the use of ocean space and assess the effectiveness of spatial management interventions.</w:t>
      </w:r>
    </w:p>
    <w:p w:rsidR="00000000" w:rsidDel="00000000" w:rsidP="00000000" w:rsidRDefault="00000000" w:rsidRPr="00000000" w14:paraId="0000000E">
      <w:pPr>
        <w:numPr>
          <w:ilvl w:val="0"/>
          <w:numId w:val="3"/>
        </w:numPr>
        <w:shd w:fill="ffffff" w:val="clear"/>
        <w:spacing w:after="0" w:afterAutospacing="0" w:before="0" w:beforeAutospacing="0"/>
        <w:ind w:left="720" w:hanging="360"/>
        <w:rPr>
          <w:b w:val="1"/>
          <w:bCs w:val="1"/>
          <w:color w:val="434343"/>
          <w:sz w:val="22"/>
          <w:szCs w:val="22"/>
        </w:rPr>
      </w:pPr>
      <w:r w:rsidDel="00000000" w:rsidR="00000000" w:rsidRPr="00000000">
        <w:rPr>
          <w:b w:val="1"/>
          <w:bCs w:val="1"/>
          <w:sz w:val="22"/>
          <w:szCs w:val="22"/>
          <w:rtl w:val="0"/>
        </w:rPr>
        <w:t xml:space="preserve">Shipping impacts: </w:t>
      </w:r>
      <w:r w:rsidDel="00000000" w:rsidR="00000000" w:rsidRPr="00000000">
        <w:rPr>
          <w:sz w:val="22"/>
          <w:szCs w:val="22"/>
          <w:rtl w:val="0"/>
        </w:rPr>
        <w:t xml:space="preserve">Study the impacts of shipping vessel traffic, </w:t>
      </w:r>
      <w:r w:rsidDel="00000000" w:rsidR="00000000" w:rsidRPr="00000000">
        <w:rPr>
          <w:sz w:val="22"/>
          <w:szCs w:val="22"/>
          <w:rtl w:val="0"/>
        </w:rPr>
        <w:t xml:space="preserve">using vessel presence and voyage datasets to estimate </w:t>
      </w:r>
      <w:r w:rsidDel="00000000" w:rsidR="00000000" w:rsidRPr="00000000">
        <w:rPr>
          <w:sz w:val="22"/>
          <w:szCs w:val="22"/>
          <w:rtl w:val="0"/>
        </w:rPr>
        <w:t xml:space="preserve">shipping vessels</w:t>
      </w:r>
      <w:r w:rsidDel="00000000" w:rsidR="00000000" w:rsidRPr="00000000">
        <w:rPr>
          <w:sz w:val="22"/>
          <w:szCs w:val="22"/>
          <w:rtl w:val="0"/>
        </w:rPr>
        <w:t xml:space="preserve">, including </w:t>
      </w:r>
      <w:r w:rsidDel="00000000" w:rsidR="00000000" w:rsidRPr="00000000">
        <w:rPr>
          <w:sz w:val="22"/>
          <w:szCs w:val="22"/>
          <w:rtl w:val="0"/>
        </w:rPr>
        <w:t xml:space="preserve">CO</w:t>
      </w:r>
      <w:r w:rsidDel="00000000" w:rsidR="00000000" w:rsidRPr="00000000">
        <w:rPr>
          <w:sz w:val="22"/>
          <w:szCs w:val="22"/>
          <w:vertAlign w:val="subscript"/>
          <w:rtl w:val="0"/>
        </w:rPr>
        <w:t xml:space="preserve">2</w:t>
      </w:r>
      <w:r w:rsidDel="00000000" w:rsidR="00000000" w:rsidRPr="00000000">
        <w:rPr>
          <w:sz w:val="22"/>
          <w:szCs w:val="22"/>
          <w:rtl w:val="0"/>
        </w:rPr>
        <w:t xml:space="preserve"> emission</w:t>
      </w:r>
      <w:r w:rsidDel="00000000" w:rsidR="00000000" w:rsidRPr="00000000">
        <w:rPr>
          <w:sz w:val="22"/>
          <w:szCs w:val="22"/>
          <w:rtl w:val="0"/>
        </w:rPr>
        <w:t xml:space="preserve">s, effects on marine life of noise and collisions, among others.</w:t>
      </w:r>
    </w:p>
    <w:p w:rsidR="00000000" w:rsidDel="00000000" w:rsidP="00000000" w:rsidRDefault="00000000" w:rsidRPr="00000000" w14:paraId="0000000F">
      <w:pPr>
        <w:numPr>
          <w:ilvl w:val="0"/>
          <w:numId w:val="3"/>
        </w:numPr>
        <w:shd w:fill="ffffff" w:val="clear"/>
        <w:spacing w:before="0" w:beforeAutospacing="0"/>
        <w:ind w:left="720" w:hanging="360"/>
        <w:rPr>
          <w:b w:val="1"/>
          <w:bCs w:val="1"/>
          <w:color w:val="434343"/>
          <w:sz w:val="22"/>
          <w:szCs w:val="22"/>
        </w:rPr>
      </w:pPr>
      <w:r w:rsidDel="00000000" w:rsidR="00000000" w:rsidRPr="00000000">
        <w:rPr>
          <w:b w:val="1"/>
          <w:bCs w:val="1"/>
          <w:sz w:val="22"/>
          <w:szCs w:val="22"/>
          <w:rtl w:val="0"/>
        </w:rPr>
        <w:t xml:space="preserve">Impacts of offshore energy infrastructure. </w:t>
      </w:r>
      <w:r w:rsidDel="00000000" w:rsidR="00000000" w:rsidRPr="00000000">
        <w:rPr>
          <w:sz w:val="22"/>
          <w:szCs w:val="22"/>
          <w:rtl w:val="0"/>
        </w:rPr>
        <w:t xml:space="preserve">Analyze the time series of fixed offshore infrastructure and its effect on </w:t>
      </w:r>
      <w:r w:rsidDel="00000000" w:rsidR="00000000" w:rsidRPr="00000000">
        <w:rPr>
          <w:sz w:val="22"/>
          <w:szCs w:val="22"/>
          <w:rtl w:val="0"/>
        </w:rPr>
        <w:t xml:space="preserve">other uses of the ocean.</w:t>
      </w:r>
    </w:p>
    <w:p w:rsidR="00000000" w:rsidDel="00000000" w:rsidP="00000000" w:rsidRDefault="00000000" w:rsidRPr="00000000" w14:paraId="00000010">
      <w:pPr>
        <w:shd w:fill="ffffff" w:val="clear"/>
        <w:ind w:left="720" w:firstLine="0"/>
        <w:rPr>
          <w:sz w:val="22"/>
          <w:szCs w:val="22"/>
        </w:rPr>
      </w:pPr>
      <w:r w:rsidDel="00000000" w:rsidR="00000000" w:rsidRPr="00000000">
        <w:rPr>
          <w:rtl w:val="0"/>
        </w:rPr>
      </w:r>
    </w:p>
    <w:p w:rsidR="00000000" w:rsidDel="00000000" w:rsidP="00000000" w:rsidRDefault="00000000" w:rsidRPr="00000000" w14:paraId="00000011">
      <w:pPr>
        <w:pStyle w:val="Heading2"/>
        <w:shd w:fill="ffffff" w:val="clear"/>
        <w:rPr>
          <w:color w:val="434343"/>
        </w:rPr>
      </w:pPr>
      <w:bookmarkStart w:colFirst="0" w:colLast="0" w:name="_rjhfgk7i63hw" w:id="4"/>
      <w:bookmarkEnd w:id="4"/>
      <w:r w:rsidDel="00000000" w:rsidR="00000000" w:rsidRPr="00000000">
        <w:rPr>
          <w:color w:val="434343"/>
          <w:rtl w:val="0"/>
        </w:rPr>
        <w:t xml:space="preserve">3. Governance, Compliance, and Transparency</w:t>
      </w:r>
    </w:p>
    <w:p w:rsidR="00000000" w:rsidDel="00000000" w:rsidP="00000000" w:rsidRDefault="00000000" w:rsidRPr="00000000" w14:paraId="00000012">
      <w:pPr>
        <w:shd w:fill="ffffff" w:val="clear"/>
        <w:rPr>
          <w:sz w:val="22"/>
          <w:szCs w:val="22"/>
          <w:shd w:fill="f0f4f9" w:val="clear"/>
        </w:rPr>
      </w:pPr>
      <w:r w:rsidDel="00000000" w:rsidR="00000000" w:rsidRPr="00000000">
        <w:rPr>
          <w:sz w:val="22"/>
          <w:szCs w:val="22"/>
          <w:highlight w:val="white"/>
          <w:rtl w:val="0"/>
        </w:rPr>
        <w:t xml:space="preserve">These topics address structural issues in maritime management, focusing on accountability, compliance with regulations, and combating illegal activities.</w:t>
      </w:r>
      <w:r w:rsidDel="00000000" w:rsidR="00000000" w:rsidRPr="00000000">
        <w:rPr>
          <w:rtl w:val="0"/>
        </w:rPr>
      </w:r>
    </w:p>
    <w:p w:rsidR="00000000" w:rsidDel="00000000" w:rsidP="00000000" w:rsidRDefault="00000000" w:rsidRPr="00000000" w14:paraId="00000013">
      <w:pPr>
        <w:numPr>
          <w:ilvl w:val="0"/>
          <w:numId w:val="1"/>
        </w:numPr>
        <w:shd w:fill="ffffff" w:val="clear"/>
        <w:spacing w:after="0" w:afterAutospacing="0"/>
        <w:ind w:left="720" w:hanging="360"/>
        <w:rPr>
          <w:color w:val="434343"/>
          <w:sz w:val="22"/>
          <w:szCs w:val="22"/>
        </w:rPr>
      </w:pPr>
      <w:r w:rsidDel="00000000" w:rsidR="00000000" w:rsidRPr="00000000">
        <w:rPr>
          <w:b w:val="1"/>
          <w:bCs w:val="1"/>
          <w:sz w:val="22"/>
          <w:szCs w:val="22"/>
          <w:rtl w:val="0"/>
        </w:rPr>
        <w:t xml:space="preserve">Effect of AIS mandates:</w:t>
      </w:r>
      <w:r w:rsidDel="00000000" w:rsidR="00000000" w:rsidRPr="00000000">
        <w:rPr>
          <w:b w:val="1"/>
          <w:bCs w:val="1"/>
          <w:sz w:val="22"/>
          <w:szCs w:val="22"/>
          <w:rtl w:val="0"/>
        </w:rPr>
        <w:t xml:space="preserve"> </w:t>
      </w:r>
      <w:r w:rsidDel="00000000" w:rsidR="00000000" w:rsidRPr="00000000">
        <w:rPr>
          <w:sz w:val="22"/>
          <w:szCs w:val="22"/>
          <w:rtl w:val="0"/>
        </w:rPr>
        <w:t xml:space="preserve">Analyzing the impacts of AIS mandates on identity shifts, vessel pattern</w:t>
      </w:r>
      <w:r w:rsidDel="00000000" w:rsidR="00000000" w:rsidRPr="00000000">
        <w:rPr>
          <w:sz w:val="22"/>
          <w:szCs w:val="22"/>
          <w:rtl w:val="0"/>
        </w:rPr>
        <w:t xml:space="preserve">s (e.g. comparing AIS-based data vs. satellite imagery detections datasets)</w:t>
      </w:r>
      <w:r w:rsidDel="00000000" w:rsidR="00000000" w:rsidRPr="00000000">
        <w:rPr>
          <w:rtl w:val="0"/>
        </w:rPr>
      </w:r>
    </w:p>
    <w:p w:rsidR="00000000" w:rsidDel="00000000" w:rsidP="00000000" w:rsidRDefault="00000000" w:rsidRPr="00000000" w14:paraId="00000014">
      <w:pPr>
        <w:numPr>
          <w:ilvl w:val="0"/>
          <w:numId w:val="1"/>
        </w:numPr>
        <w:shd w:fill="ffffff" w:val="clear"/>
        <w:spacing w:after="0" w:afterAutospacing="0" w:before="0" w:beforeAutospacing="0"/>
        <w:ind w:left="720" w:hanging="360"/>
        <w:rPr>
          <w:color w:val="434343"/>
          <w:sz w:val="22"/>
          <w:szCs w:val="22"/>
        </w:rPr>
      </w:pPr>
      <w:r w:rsidDel="00000000" w:rsidR="00000000" w:rsidRPr="00000000">
        <w:rPr>
          <w:b w:val="1"/>
          <w:bCs w:val="1"/>
          <w:sz w:val="22"/>
          <w:szCs w:val="22"/>
          <w:rtl w:val="0"/>
        </w:rPr>
        <w:t xml:space="preserve">Combat IUU Fishing:</w:t>
      </w:r>
      <w:r w:rsidDel="00000000" w:rsidR="00000000" w:rsidRPr="00000000">
        <w:rPr>
          <w:sz w:val="22"/>
          <w:szCs w:val="22"/>
          <w:rtl w:val="0"/>
        </w:rPr>
        <w:t xml:space="preserve"> Use GFW datasets and platforms to support initiatives that reveal and reduce illegal, unreported, and unregulated fishing</w:t>
      </w:r>
      <w:r w:rsidDel="00000000" w:rsidR="00000000" w:rsidRPr="00000000">
        <w:rPr>
          <w:rtl w:val="0"/>
        </w:rPr>
      </w:r>
    </w:p>
    <w:p w:rsidR="00000000" w:rsidDel="00000000" w:rsidP="00000000" w:rsidRDefault="00000000" w:rsidRPr="00000000" w14:paraId="00000015">
      <w:pPr>
        <w:numPr>
          <w:ilvl w:val="0"/>
          <w:numId w:val="1"/>
        </w:numPr>
        <w:shd w:fill="ffffff" w:val="clear"/>
        <w:spacing w:after="0" w:afterAutospacing="0" w:before="0" w:beforeAutospacing="0"/>
        <w:ind w:left="720" w:hanging="360"/>
        <w:rPr>
          <w:b w:val="1"/>
          <w:bCs w:val="1"/>
          <w:color w:val="434343"/>
          <w:sz w:val="22"/>
          <w:szCs w:val="22"/>
        </w:rPr>
      </w:pPr>
      <w:r w:rsidDel="00000000" w:rsidR="00000000" w:rsidRPr="00000000">
        <w:rPr>
          <w:b w:val="1"/>
          <w:bCs w:val="1"/>
          <w:sz w:val="22"/>
          <w:szCs w:val="22"/>
          <w:rtl w:val="0"/>
        </w:rPr>
        <w:t xml:space="preserve">Study </w:t>
      </w:r>
      <w:r w:rsidDel="00000000" w:rsidR="00000000" w:rsidRPr="00000000">
        <w:rPr>
          <w:b w:val="1"/>
          <w:bCs w:val="1"/>
          <w:sz w:val="22"/>
          <w:szCs w:val="22"/>
          <w:rtl w:val="0"/>
        </w:rPr>
        <w:t xml:space="preserve">identity changes and their links to suspicious vessel behavior: </w:t>
      </w:r>
      <w:r w:rsidDel="00000000" w:rsidR="00000000" w:rsidRPr="00000000">
        <w:rPr>
          <w:sz w:val="22"/>
          <w:szCs w:val="22"/>
          <w:rtl w:val="0"/>
        </w:rPr>
        <w:t xml:space="preserve">Projects addressing identity changes, flag-change patterns, MMSI recycling, identity spoofing, and changes from high-trust to low-trust registries</w:t>
      </w:r>
      <w:r w:rsidDel="00000000" w:rsidR="00000000" w:rsidRPr="00000000">
        <w:rPr>
          <w:sz w:val="22"/>
          <w:szCs w:val="22"/>
          <w:rtl w:val="0"/>
        </w:rPr>
        <w:t xml:space="preserve"> to specific use cases, and to highlight the value of transparency in vessel identity and/or ownership. </w:t>
      </w:r>
      <w:r w:rsidDel="00000000" w:rsidR="00000000" w:rsidRPr="00000000">
        <w:rPr>
          <w:rtl w:val="0"/>
        </w:rPr>
      </w:r>
    </w:p>
    <w:p w:rsidR="00000000" w:rsidDel="00000000" w:rsidP="00000000" w:rsidRDefault="00000000" w:rsidRPr="00000000" w14:paraId="00000016">
      <w:pPr>
        <w:numPr>
          <w:ilvl w:val="0"/>
          <w:numId w:val="1"/>
        </w:numPr>
        <w:shd w:fill="ffffff" w:val="clear"/>
        <w:spacing w:after="0" w:afterAutospacing="0" w:before="0" w:beforeAutospacing="0"/>
        <w:ind w:left="720" w:hanging="360"/>
        <w:rPr>
          <w:color w:val="434343"/>
          <w:sz w:val="22"/>
          <w:szCs w:val="22"/>
        </w:rPr>
      </w:pPr>
      <w:r w:rsidDel="00000000" w:rsidR="00000000" w:rsidRPr="00000000">
        <w:rPr>
          <w:b w:val="1"/>
          <w:bCs w:val="1"/>
          <w:sz w:val="22"/>
          <w:szCs w:val="22"/>
          <w:rtl w:val="0"/>
        </w:rPr>
        <w:t xml:space="preserve">Beneficial Ownership (UBO):</w:t>
      </w:r>
      <w:r w:rsidDel="00000000" w:rsidR="00000000" w:rsidRPr="00000000">
        <w:rPr>
          <w:sz w:val="22"/>
          <w:szCs w:val="22"/>
          <w:rtl w:val="0"/>
        </w:rPr>
        <w:t xml:space="preserve"> Matching </w:t>
      </w:r>
      <w:r w:rsidDel="00000000" w:rsidR="00000000" w:rsidRPr="00000000">
        <w:rPr>
          <w:sz w:val="22"/>
          <w:szCs w:val="22"/>
          <w:rtl w:val="0"/>
        </w:rPr>
        <w:t xml:space="preserve">ownership data </w:t>
      </w:r>
      <w:r w:rsidDel="00000000" w:rsidR="00000000" w:rsidRPr="00000000">
        <w:rPr>
          <w:sz w:val="22"/>
          <w:szCs w:val="22"/>
          <w:rtl w:val="0"/>
        </w:rPr>
        <w:t xml:space="preserve">with corporate registries and/or UBO databases (ex. Triton and Horizons data available from C4DS) to reveal beneficial owners, and analyzing network structure (e.g., shell company depth) as an indicator of IUU risk or sanctions evasion. Use of UBO data to track sanctioned/IUU vessels and investigate hidden monopolies in fishing quotas.</w:t>
      </w:r>
      <w:r w:rsidDel="00000000" w:rsidR="00000000" w:rsidRPr="00000000">
        <w:rPr>
          <w:rtl w:val="0"/>
        </w:rPr>
      </w:r>
    </w:p>
    <w:p w:rsidR="00000000" w:rsidDel="00000000" w:rsidP="00000000" w:rsidRDefault="00000000" w:rsidRPr="00000000" w14:paraId="00000017">
      <w:pPr>
        <w:numPr>
          <w:ilvl w:val="0"/>
          <w:numId w:val="1"/>
        </w:numPr>
        <w:shd w:fill="ffffff" w:val="clear"/>
        <w:spacing w:after="0" w:afterAutospacing="0" w:before="0" w:beforeAutospacing="0"/>
        <w:ind w:left="720" w:hanging="360"/>
        <w:rPr>
          <w:color w:val="434343"/>
          <w:sz w:val="22"/>
          <w:szCs w:val="22"/>
        </w:rPr>
      </w:pPr>
      <w:r w:rsidDel="00000000" w:rsidR="00000000" w:rsidRPr="00000000">
        <w:rPr>
          <w:b w:val="1"/>
          <w:bCs w:val="1"/>
          <w:sz w:val="22"/>
          <w:szCs w:val="22"/>
          <w:rtl w:val="0"/>
        </w:rPr>
        <w:t xml:space="preserve">Port visit patterns and PSMA compliance</w:t>
      </w:r>
      <w:r w:rsidDel="00000000" w:rsidR="00000000" w:rsidRPr="00000000">
        <w:rPr>
          <w:b w:val="1"/>
          <w:bCs w:val="1"/>
          <w:sz w:val="22"/>
          <w:szCs w:val="22"/>
          <w:rtl w:val="0"/>
        </w:rPr>
        <w:t xml:space="preserve">:</w:t>
      </w:r>
      <w:r w:rsidDel="00000000" w:rsidR="00000000" w:rsidRPr="00000000">
        <w:rPr>
          <w:sz w:val="22"/>
          <w:szCs w:val="22"/>
          <w:rtl w:val="0"/>
        </w:rPr>
        <w:t xml:space="preserve"> A</w:t>
      </w:r>
      <w:r w:rsidDel="00000000" w:rsidR="00000000" w:rsidRPr="00000000">
        <w:rPr>
          <w:sz w:val="22"/>
          <w:szCs w:val="22"/>
          <w:rtl w:val="0"/>
        </w:rPr>
        <w:t xml:space="preserve">nalyzing port call behavior and flag-change patterns to detect PSMA (Port State Measures Agreement) evasion or transshipment risks.</w:t>
      </w:r>
      <w:r w:rsidDel="00000000" w:rsidR="00000000" w:rsidRPr="00000000">
        <w:rPr>
          <w:rtl w:val="0"/>
        </w:rPr>
      </w:r>
    </w:p>
    <w:p w:rsidR="00000000" w:rsidDel="00000000" w:rsidP="00000000" w:rsidRDefault="00000000" w:rsidRPr="00000000" w14:paraId="00000018">
      <w:pPr>
        <w:numPr>
          <w:ilvl w:val="0"/>
          <w:numId w:val="1"/>
        </w:numPr>
        <w:shd w:fill="ffffff" w:val="clear"/>
        <w:spacing w:before="0" w:beforeAutospacing="0"/>
        <w:ind w:left="720" w:hanging="360"/>
        <w:rPr>
          <w:color w:val="434343"/>
          <w:sz w:val="22"/>
          <w:szCs w:val="22"/>
        </w:rPr>
      </w:pPr>
      <w:r w:rsidDel="00000000" w:rsidR="00000000" w:rsidRPr="00000000">
        <w:rPr>
          <w:b w:val="1"/>
          <w:bCs w:val="1"/>
          <w:sz w:val="22"/>
          <w:szCs w:val="22"/>
          <w:rtl w:val="0"/>
        </w:rPr>
        <w:t xml:space="preserve">Crew welfare</w:t>
      </w:r>
      <w:r w:rsidDel="00000000" w:rsidR="00000000" w:rsidRPr="00000000">
        <w:rPr>
          <w:b w:val="1"/>
          <w:bCs w:val="1"/>
          <w:sz w:val="22"/>
          <w:szCs w:val="22"/>
          <w:rtl w:val="0"/>
        </w:rPr>
        <w:t xml:space="preserve">:</w:t>
      </w:r>
      <w:r w:rsidDel="00000000" w:rsidR="00000000" w:rsidRPr="00000000">
        <w:rPr>
          <w:sz w:val="22"/>
          <w:szCs w:val="22"/>
          <w:rtl w:val="0"/>
        </w:rPr>
        <w:t xml:space="preserve"> Comparing the outputs or data features for Global Fishing Watch’s forced labor risk model, with C188 certifications, labor abuse datasets and other IUU activities at sea</w:t>
      </w:r>
      <w:r w:rsidDel="00000000" w:rsidR="00000000" w:rsidRPr="00000000">
        <w:rPr>
          <w:sz w:val="22"/>
          <w:szCs w:val="22"/>
          <w:rtl w:val="0"/>
        </w:rPr>
        <w:t xml:space="preserve">.</w:t>
      </w:r>
      <w:r w:rsidDel="00000000" w:rsidR="00000000" w:rsidRPr="00000000">
        <w:rPr>
          <w:sz w:val="22"/>
          <w:szCs w:val="22"/>
          <w:rtl w:val="0"/>
        </w:rPr>
        <w:t xml:space="preserve"> </w:t>
      </w:r>
      <w:r w:rsidDel="00000000" w:rsidR="00000000" w:rsidRPr="00000000">
        <w:rPr>
          <w:sz w:val="22"/>
          <w:szCs w:val="22"/>
          <w:rtl w:val="0"/>
        </w:rPr>
        <w:t xml:space="preserve">Desk research and comparison to confirmed reported cases of forced labor at sea</w:t>
      </w:r>
      <w:r w:rsidDel="00000000" w:rsidR="00000000" w:rsidRPr="00000000">
        <w:rPr>
          <w:sz w:val="22"/>
          <w:szCs w:val="22"/>
          <w:rtl w:val="0"/>
        </w:rPr>
        <w:t xml:space="preserve">. </w:t>
      </w:r>
      <w:r w:rsidDel="00000000" w:rsidR="00000000" w:rsidRPr="00000000">
        <w:rPr>
          <w:sz w:val="22"/>
          <w:szCs w:val="22"/>
          <w:rtl w:val="0"/>
        </w:rPr>
        <w:t xml:space="preserve">Analyze crew origins, recruitment agencies networks, and regulatory gaps. </w:t>
      </w:r>
    </w:p>
    <w:p w:rsidR="00000000" w:rsidDel="00000000" w:rsidP="00000000" w:rsidRDefault="00000000" w:rsidRPr="00000000" w14:paraId="00000019">
      <w:pPr>
        <w:pStyle w:val="Heading2"/>
        <w:rPr>
          <w:color w:val="434343"/>
        </w:rPr>
      </w:pPr>
      <w:bookmarkStart w:colFirst="0" w:colLast="0" w:name="_jsvv1uhjxxus" w:id="5"/>
      <w:bookmarkEnd w:id="5"/>
      <w:r w:rsidDel="00000000" w:rsidR="00000000" w:rsidRPr="00000000">
        <w:rPr>
          <w:color w:val="434343"/>
          <w:rtl w:val="0"/>
        </w:rPr>
        <w:t xml:space="preserve">4</w:t>
      </w:r>
      <w:r w:rsidDel="00000000" w:rsidR="00000000" w:rsidRPr="00000000">
        <w:rPr>
          <w:color w:val="434343"/>
          <w:rtl w:val="0"/>
        </w:rPr>
        <w:t xml:space="preserve">. </w:t>
      </w:r>
      <w:r w:rsidDel="00000000" w:rsidR="00000000" w:rsidRPr="00000000">
        <w:rPr>
          <w:color w:val="434343"/>
          <w:rtl w:val="0"/>
        </w:rPr>
        <w:t xml:space="preserve">Small-scale and artisanal fishing fleets around the World</w:t>
      </w:r>
    </w:p>
    <w:p w:rsidR="00000000" w:rsidDel="00000000" w:rsidP="00000000" w:rsidRDefault="00000000" w:rsidRPr="00000000" w14:paraId="0000001A">
      <w:pPr>
        <w:rPr>
          <w:sz w:val="22"/>
          <w:szCs w:val="22"/>
        </w:rPr>
      </w:pPr>
      <w:r w:rsidDel="00000000" w:rsidR="00000000" w:rsidRPr="00000000">
        <w:rPr>
          <w:sz w:val="22"/>
          <w:szCs w:val="22"/>
          <w:rtl w:val="0"/>
        </w:rPr>
        <w:t xml:space="preserve">This area focuses on understanding the diverse characteristics and governance schemes of artisanal fishing fleets and how they relate to existing and novel Global Fishing Watch datasets, to support Global Fishing Watch core strategic goal to protect small-scale fisheries.</w:t>
      </w:r>
    </w:p>
    <w:p w:rsidR="00000000" w:rsidDel="00000000" w:rsidP="00000000" w:rsidRDefault="00000000" w:rsidRPr="00000000" w14:paraId="0000001B">
      <w:pPr>
        <w:numPr>
          <w:ilvl w:val="0"/>
          <w:numId w:val="4"/>
        </w:numPr>
        <w:spacing w:after="0" w:afterAutospacing="0"/>
        <w:ind w:left="720" w:hanging="360"/>
        <w:rPr>
          <w:color w:val="434343"/>
          <w:sz w:val="22"/>
          <w:szCs w:val="22"/>
        </w:rPr>
      </w:pPr>
      <w:r w:rsidDel="00000000" w:rsidR="00000000" w:rsidRPr="00000000">
        <w:rPr>
          <w:b w:val="1"/>
          <w:bCs w:val="1"/>
          <w:sz w:val="22"/>
          <w:szCs w:val="22"/>
          <w:rtl w:val="0"/>
        </w:rPr>
        <w:t xml:space="preserve">Characterization, fishing patterns, target species: </w:t>
      </w:r>
      <w:r w:rsidDel="00000000" w:rsidR="00000000" w:rsidRPr="00000000">
        <w:rPr>
          <w:sz w:val="22"/>
          <w:szCs w:val="22"/>
          <w:rtl w:val="0"/>
        </w:rPr>
        <w:t xml:space="preserve">Describing the specific regional configurations of small-scale fisheries (</w:t>
      </w:r>
      <w:r w:rsidDel="00000000" w:rsidR="00000000" w:rsidRPr="00000000">
        <w:rPr>
          <w:sz w:val="22"/>
          <w:szCs w:val="22"/>
          <w:rtl w:val="0"/>
        </w:rPr>
        <w:t xml:space="preserve">geartypes, definitions, activity patterns and governance schemes) to ground-truth</w:t>
      </w:r>
      <w:r w:rsidDel="00000000" w:rsidR="00000000" w:rsidRPr="00000000">
        <w:rPr>
          <w:sz w:val="22"/>
          <w:szCs w:val="22"/>
          <w:rtl w:val="0"/>
        </w:rPr>
        <w:t xml:space="preserve"> Global Fishing Watch detection datasets. Assessing the “Hidden harvests” contributed by SSF to fishing effort/total catch.</w:t>
      </w:r>
      <w:r w:rsidDel="00000000" w:rsidR="00000000" w:rsidRPr="00000000">
        <w:rPr>
          <w:rtl w:val="0"/>
        </w:rPr>
      </w:r>
    </w:p>
    <w:p w:rsidR="00000000" w:rsidDel="00000000" w:rsidP="00000000" w:rsidRDefault="00000000" w:rsidRPr="00000000" w14:paraId="0000001C">
      <w:pPr>
        <w:numPr>
          <w:ilvl w:val="0"/>
          <w:numId w:val="4"/>
        </w:numPr>
        <w:spacing w:after="0" w:afterAutospacing="0" w:before="0" w:beforeAutospacing="0"/>
        <w:ind w:left="720" w:hanging="360"/>
        <w:rPr>
          <w:color w:val="434343"/>
          <w:sz w:val="22"/>
          <w:szCs w:val="22"/>
        </w:rPr>
      </w:pPr>
      <w:r w:rsidDel="00000000" w:rsidR="00000000" w:rsidRPr="00000000">
        <w:rPr>
          <w:b w:val="1"/>
          <w:bCs w:val="1"/>
          <w:sz w:val="22"/>
          <w:szCs w:val="22"/>
          <w:rtl w:val="0"/>
        </w:rPr>
        <w:t xml:space="preserve">Assess the value of satellite imagery detections data for small-scale fisheries:</w:t>
      </w:r>
      <w:r w:rsidDel="00000000" w:rsidR="00000000" w:rsidRPr="00000000">
        <w:rPr>
          <w:sz w:val="22"/>
          <w:szCs w:val="22"/>
          <w:rtl w:val="0"/>
        </w:rPr>
        <w:t xml:space="preserve"> Understanding the accuracy and relative value of different satellite detection data (Planet vs. S2), especially in a local context. Projects could include ground-truthing Planet detections </w:t>
      </w:r>
      <w:r w:rsidDel="00000000" w:rsidR="00000000" w:rsidRPr="00000000">
        <w:rPr>
          <w:sz w:val="22"/>
          <w:szCs w:val="22"/>
          <w:rtl w:val="0"/>
        </w:rPr>
        <w:t xml:space="preserve">to </w:t>
      </w:r>
      <w:r w:rsidDel="00000000" w:rsidR="00000000" w:rsidRPr="00000000">
        <w:rPr>
          <w:sz w:val="22"/>
          <w:szCs w:val="22"/>
          <w:rtl w:val="0"/>
        </w:rPr>
        <w:t xml:space="preserve">improve how detections can inform local decisions and describe local fleets, and evaluating the usefulness and data ethics of using these data in local contexts.</w:t>
      </w:r>
    </w:p>
    <w:p w:rsidR="00000000" w:rsidDel="00000000" w:rsidP="00000000" w:rsidRDefault="00000000" w:rsidRPr="00000000" w14:paraId="0000001D">
      <w:pPr>
        <w:numPr>
          <w:ilvl w:val="0"/>
          <w:numId w:val="4"/>
        </w:numPr>
        <w:spacing w:after="0" w:afterAutospacing="0" w:before="0" w:beforeAutospacing="0"/>
        <w:ind w:left="720" w:hanging="360"/>
        <w:rPr>
          <w:color w:val="434343"/>
          <w:sz w:val="22"/>
          <w:szCs w:val="22"/>
        </w:rPr>
      </w:pPr>
      <w:r w:rsidDel="00000000" w:rsidR="00000000" w:rsidRPr="00000000">
        <w:rPr>
          <w:b w:val="1"/>
          <w:bCs w:val="1"/>
          <w:sz w:val="22"/>
          <w:szCs w:val="22"/>
          <w:rtl w:val="0"/>
        </w:rPr>
        <w:t xml:space="preserve">Interactions with other sectors:</w:t>
      </w:r>
      <w:r w:rsidDel="00000000" w:rsidR="00000000" w:rsidRPr="00000000">
        <w:rPr>
          <w:sz w:val="22"/>
          <w:szCs w:val="22"/>
          <w:rtl w:val="0"/>
        </w:rPr>
        <w:t xml:space="preserve"> Biodiversity effects of OECMs, effect of intensifying industrialization (ex. implementation of offshore wind structures) on community well-being and sustainability of fishing grounds. </w:t>
      </w:r>
    </w:p>
    <w:p w:rsidR="00000000" w:rsidDel="00000000" w:rsidP="00000000" w:rsidRDefault="00000000" w:rsidRPr="00000000" w14:paraId="0000001E">
      <w:pPr>
        <w:numPr>
          <w:ilvl w:val="0"/>
          <w:numId w:val="4"/>
        </w:numPr>
        <w:shd w:fill="ffffff" w:val="clear"/>
        <w:spacing w:before="0" w:beforeAutospacing="0"/>
        <w:ind w:left="720" w:hanging="360"/>
        <w:rPr>
          <w:color w:val="434343"/>
          <w:sz w:val="22"/>
          <w:szCs w:val="22"/>
        </w:rPr>
      </w:pPr>
      <w:r w:rsidDel="00000000" w:rsidR="00000000" w:rsidRPr="00000000">
        <w:rPr>
          <w:b w:val="1"/>
          <w:bCs w:val="1"/>
          <w:sz w:val="22"/>
          <w:szCs w:val="22"/>
          <w:rtl w:val="0"/>
        </w:rPr>
        <w:t xml:space="preserve">Industrial incursions to artisanal fishing grounds: </w:t>
      </w:r>
      <w:r w:rsidDel="00000000" w:rsidR="00000000" w:rsidRPr="00000000">
        <w:rPr>
          <w:sz w:val="22"/>
          <w:szCs w:val="22"/>
          <w:rtl w:val="0"/>
        </w:rPr>
        <w:t xml:space="preserve">Analyze patterns or instances of industrial incursions to artisanal/small-scale fisheries grounds</w:t>
      </w:r>
      <w:r w:rsidDel="00000000" w:rsidR="00000000" w:rsidRPr="00000000">
        <w:rPr>
          <w:rtl w:val="0"/>
        </w:rPr>
      </w:r>
    </w:p>
    <w:p w:rsidR="00000000" w:rsidDel="00000000" w:rsidP="00000000" w:rsidRDefault="00000000" w:rsidRPr="00000000" w14:paraId="0000001F">
      <w:pPr>
        <w:pStyle w:val="Heading2"/>
        <w:shd w:fill="ffffff" w:val="clear"/>
        <w:rPr>
          <w:color w:val="434343"/>
        </w:rPr>
      </w:pPr>
      <w:bookmarkStart w:colFirst="0" w:colLast="0" w:name="_670xzi7qfi5e" w:id="6"/>
      <w:bookmarkEnd w:id="6"/>
      <w:r w:rsidDel="00000000" w:rsidR="00000000" w:rsidRPr="00000000">
        <w:rPr>
          <w:color w:val="434343"/>
          <w:rtl w:val="0"/>
        </w:rPr>
        <w:t xml:space="preserve">5. </w:t>
      </w:r>
      <w:r w:rsidDel="00000000" w:rsidR="00000000" w:rsidRPr="00000000">
        <w:rPr>
          <w:color w:val="434343"/>
          <w:rtl w:val="0"/>
        </w:rPr>
        <w:t xml:space="preserve">Data-driven b</w:t>
      </w:r>
      <w:r w:rsidDel="00000000" w:rsidR="00000000" w:rsidRPr="00000000">
        <w:rPr>
          <w:color w:val="434343"/>
          <w:rtl w:val="0"/>
        </w:rPr>
        <w:t xml:space="preserve">iodiversity conservation</w:t>
      </w:r>
    </w:p>
    <w:p w:rsidR="00000000" w:rsidDel="00000000" w:rsidP="00000000" w:rsidRDefault="00000000" w:rsidRPr="00000000" w14:paraId="00000020">
      <w:pPr>
        <w:rPr>
          <w:sz w:val="22"/>
          <w:szCs w:val="22"/>
        </w:rPr>
      </w:pPr>
      <w:r w:rsidDel="00000000" w:rsidR="00000000" w:rsidRPr="00000000">
        <w:rPr>
          <w:sz w:val="22"/>
          <w:szCs w:val="22"/>
          <w:rtl w:val="0"/>
        </w:rPr>
        <w:t xml:space="preserve">This area includes projects using Global Fishing Watch datasets to implement, monitor and enforce area-based management policies like MPAs and OECMs, and biodiversity research linked to interactions with human activities at the species or population level.</w:t>
      </w:r>
      <w:r w:rsidDel="00000000" w:rsidR="00000000" w:rsidRPr="00000000">
        <w:rPr>
          <w:rtl w:val="0"/>
        </w:rPr>
      </w:r>
    </w:p>
    <w:p w:rsidR="00000000" w:rsidDel="00000000" w:rsidP="00000000" w:rsidRDefault="00000000" w:rsidRPr="00000000" w14:paraId="00000021">
      <w:pPr>
        <w:numPr>
          <w:ilvl w:val="0"/>
          <w:numId w:val="4"/>
        </w:numPr>
        <w:shd w:fill="ffffff" w:val="clear"/>
        <w:spacing w:after="0" w:afterAutospacing="0"/>
        <w:ind w:left="720" w:hanging="360"/>
        <w:rPr>
          <w:color w:val="434343"/>
          <w:sz w:val="22"/>
          <w:szCs w:val="22"/>
        </w:rPr>
      </w:pPr>
      <w:r w:rsidDel="00000000" w:rsidR="00000000" w:rsidRPr="00000000">
        <w:rPr>
          <w:b w:val="1"/>
          <w:bCs w:val="1"/>
          <w:sz w:val="22"/>
          <w:szCs w:val="22"/>
          <w:rtl w:val="0"/>
        </w:rPr>
        <w:t xml:space="preserve">Support</w:t>
      </w:r>
      <w:r w:rsidDel="00000000" w:rsidR="00000000" w:rsidRPr="00000000">
        <w:rPr>
          <w:b w:val="1"/>
          <w:bCs w:val="1"/>
          <w:sz w:val="22"/>
          <w:szCs w:val="22"/>
          <w:rtl w:val="0"/>
        </w:rPr>
        <w:t xml:space="preserve"> 30 x 30 implementation efforts.</w:t>
      </w:r>
      <w:r w:rsidDel="00000000" w:rsidR="00000000" w:rsidRPr="00000000">
        <w:rPr>
          <w:sz w:val="22"/>
          <w:szCs w:val="22"/>
          <w:rtl w:val="0"/>
        </w:rPr>
        <w:t xml:space="preserve"> Area </w:t>
      </w:r>
      <w:r w:rsidDel="00000000" w:rsidR="00000000" w:rsidRPr="00000000">
        <w:rPr>
          <w:sz w:val="22"/>
          <w:szCs w:val="22"/>
          <w:rtl w:val="0"/>
        </w:rPr>
        <w:t xml:space="preserve">prioritization</w:t>
      </w:r>
      <w:r w:rsidDel="00000000" w:rsidR="00000000" w:rsidRPr="00000000">
        <w:rPr>
          <w:sz w:val="22"/>
          <w:szCs w:val="22"/>
          <w:rtl w:val="0"/>
        </w:rPr>
        <w:t xml:space="preserve">, modeling contrasting scenarios.</w:t>
      </w:r>
      <w:r w:rsidDel="00000000" w:rsidR="00000000" w:rsidRPr="00000000">
        <w:rPr>
          <w:rtl w:val="0"/>
        </w:rPr>
      </w:r>
    </w:p>
    <w:p w:rsidR="00000000" w:rsidDel="00000000" w:rsidP="00000000" w:rsidRDefault="00000000" w:rsidRPr="00000000" w14:paraId="00000022">
      <w:pPr>
        <w:numPr>
          <w:ilvl w:val="0"/>
          <w:numId w:val="4"/>
        </w:numPr>
        <w:shd w:fill="ffffff" w:val="clear"/>
        <w:spacing w:after="0" w:afterAutospacing="0" w:before="0" w:beforeAutospacing="0"/>
        <w:ind w:left="720" w:hanging="360"/>
        <w:rPr>
          <w:color w:val="434343"/>
          <w:sz w:val="22"/>
          <w:szCs w:val="22"/>
        </w:rPr>
      </w:pPr>
      <w:r w:rsidDel="00000000" w:rsidR="00000000" w:rsidRPr="00000000">
        <w:rPr>
          <w:b w:val="1"/>
          <w:bCs w:val="1"/>
          <w:sz w:val="22"/>
          <w:szCs w:val="22"/>
          <w:rtl w:val="0"/>
        </w:rPr>
        <w:t xml:space="preserve">Protected areas effectiveness</w:t>
      </w:r>
      <w:r w:rsidDel="00000000" w:rsidR="00000000" w:rsidRPr="00000000">
        <w:rPr>
          <w:b w:val="1"/>
          <w:bCs w:val="1"/>
          <w:sz w:val="22"/>
          <w:szCs w:val="22"/>
          <w:rtl w:val="0"/>
        </w:rPr>
        <w:t xml:space="preserve">:</w:t>
      </w:r>
      <w:r w:rsidDel="00000000" w:rsidR="00000000" w:rsidRPr="00000000">
        <w:rPr>
          <w:sz w:val="22"/>
          <w:szCs w:val="22"/>
          <w:rtl w:val="0"/>
        </w:rPr>
        <w:t xml:space="preserve"> Analyzing the effectiveness of area-based policy instruments, such as MPAs (Marine Protected Areas) and OECMs (Other Effective Area-Based Conservation Measures), for biodiversity and s</w:t>
      </w:r>
      <w:r w:rsidDel="00000000" w:rsidR="00000000" w:rsidRPr="00000000">
        <w:rPr>
          <w:sz w:val="22"/>
          <w:szCs w:val="22"/>
          <w:rtl w:val="0"/>
        </w:rPr>
        <w:t xml:space="preserve">mall-scale fisheries</w:t>
      </w:r>
      <w:r w:rsidDel="00000000" w:rsidR="00000000" w:rsidRPr="00000000">
        <w:rPr>
          <w:sz w:val="22"/>
          <w:szCs w:val="22"/>
          <w:rtl w:val="0"/>
        </w:rPr>
        <w:t xml:space="preserve"> protection.</w:t>
      </w:r>
      <w:r w:rsidDel="00000000" w:rsidR="00000000" w:rsidRPr="00000000">
        <w:rPr>
          <w:rtl w:val="0"/>
        </w:rPr>
      </w:r>
    </w:p>
    <w:p w:rsidR="00000000" w:rsidDel="00000000" w:rsidP="00000000" w:rsidRDefault="00000000" w:rsidRPr="00000000" w14:paraId="00000023">
      <w:pPr>
        <w:numPr>
          <w:ilvl w:val="0"/>
          <w:numId w:val="4"/>
        </w:numPr>
        <w:shd w:fill="ffffff" w:val="clear"/>
        <w:spacing w:after="0" w:afterAutospacing="0" w:before="0" w:beforeAutospacing="0"/>
        <w:ind w:left="720" w:hanging="360"/>
        <w:rPr>
          <w:b w:val="1"/>
          <w:bCs w:val="1"/>
          <w:color w:val="434343"/>
          <w:sz w:val="22"/>
          <w:szCs w:val="22"/>
        </w:rPr>
      </w:pPr>
      <w:r w:rsidDel="00000000" w:rsidR="00000000" w:rsidRPr="00000000">
        <w:rPr>
          <w:b w:val="1"/>
          <w:bCs w:val="1"/>
          <w:sz w:val="22"/>
          <w:szCs w:val="22"/>
          <w:rtl w:val="0"/>
        </w:rPr>
        <w:t xml:space="preserve">Future impact of BBNJ: </w:t>
      </w:r>
      <w:r w:rsidDel="00000000" w:rsidR="00000000" w:rsidRPr="00000000">
        <w:rPr>
          <w:sz w:val="22"/>
          <w:szCs w:val="22"/>
          <w:rtl w:val="0"/>
        </w:rPr>
        <w:t xml:space="preserve">Using GFW data to assess or estimate potential impacts of BBNJ on vessel traffic patterns,</w:t>
      </w:r>
      <w:r w:rsidDel="00000000" w:rsidR="00000000" w:rsidRPr="00000000">
        <w:rPr>
          <w:sz w:val="22"/>
          <w:szCs w:val="22"/>
          <w:rtl w:val="0"/>
        </w:rPr>
        <w:t xml:space="preserve"> fishing effort and other human activities at sea.</w:t>
      </w:r>
    </w:p>
    <w:p w:rsidR="00000000" w:rsidDel="00000000" w:rsidP="00000000" w:rsidRDefault="00000000" w:rsidRPr="00000000" w14:paraId="00000024">
      <w:pPr>
        <w:numPr>
          <w:ilvl w:val="0"/>
          <w:numId w:val="4"/>
        </w:numPr>
        <w:shd w:fill="ffffff" w:val="clear"/>
        <w:spacing w:after="0" w:afterAutospacing="0" w:before="0" w:beforeAutospacing="0"/>
        <w:ind w:left="720" w:hanging="360"/>
        <w:rPr>
          <w:b w:val="1"/>
          <w:bCs w:val="1"/>
          <w:color w:val="434343"/>
          <w:sz w:val="22"/>
          <w:szCs w:val="22"/>
        </w:rPr>
      </w:pPr>
      <w:r w:rsidDel="00000000" w:rsidR="00000000" w:rsidRPr="00000000">
        <w:rPr>
          <w:b w:val="1"/>
          <w:bCs w:val="1"/>
          <w:sz w:val="22"/>
          <w:szCs w:val="22"/>
          <w:rtl w:val="0"/>
        </w:rPr>
        <w:t xml:space="preserve">Pre- and post- MPA implementation monitoring. </w:t>
      </w:r>
      <w:r w:rsidDel="00000000" w:rsidR="00000000" w:rsidRPr="00000000">
        <w:rPr>
          <w:sz w:val="22"/>
          <w:szCs w:val="22"/>
          <w:rtl w:val="0"/>
        </w:rPr>
        <w:t xml:space="preserve">Detecting spillover effect and its drivers.</w:t>
      </w:r>
      <w:r w:rsidDel="00000000" w:rsidR="00000000" w:rsidRPr="00000000">
        <w:rPr>
          <w:rtl w:val="0"/>
        </w:rPr>
      </w:r>
    </w:p>
    <w:p w:rsidR="00000000" w:rsidDel="00000000" w:rsidP="00000000" w:rsidRDefault="00000000" w:rsidRPr="00000000" w14:paraId="00000025">
      <w:pPr>
        <w:numPr>
          <w:ilvl w:val="0"/>
          <w:numId w:val="4"/>
        </w:numPr>
        <w:shd w:fill="ffffff" w:val="clear"/>
        <w:spacing w:after="0" w:afterAutospacing="0" w:before="0" w:beforeAutospacing="0"/>
        <w:ind w:left="720" w:hanging="360"/>
        <w:rPr>
          <w:b w:val="1"/>
          <w:bCs w:val="1"/>
          <w:color w:val="434343"/>
          <w:sz w:val="22"/>
          <w:szCs w:val="22"/>
        </w:rPr>
      </w:pPr>
      <w:r w:rsidDel="00000000" w:rsidR="00000000" w:rsidRPr="00000000">
        <w:rPr>
          <w:b w:val="1"/>
          <w:bCs w:val="1"/>
          <w:sz w:val="22"/>
          <w:szCs w:val="22"/>
          <w:rtl w:val="0"/>
        </w:rPr>
        <w:t xml:space="preserve">Mitigating the impact of species-fleet interactions: </w:t>
      </w:r>
      <w:r w:rsidDel="00000000" w:rsidR="00000000" w:rsidRPr="00000000">
        <w:rPr>
          <w:sz w:val="22"/>
          <w:szCs w:val="22"/>
          <w:rtl w:val="0"/>
        </w:rPr>
        <w:t xml:space="preserve">Bycatch mitigation, vessel strikes, acoustic modeling and noise impacts analysis may inform policy interventions to protect species populations.</w:t>
      </w:r>
    </w:p>
    <w:p w:rsidR="00000000" w:rsidDel="00000000" w:rsidP="00000000" w:rsidRDefault="00000000" w:rsidRPr="00000000" w14:paraId="00000026">
      <w:pPr>
        <w:numPr>
          <w:ilvl w:val="0"/>
          <w:numId w:val="4"/>
        </w:numPr>
        <w:shd w:fill="ffffff" w:val="clear"/>
        <w:spacing w:before="0" w:beforeAutospacing="0"/>
        <w:ind w:left="720" w:hanging="360"/>
        <w:rPr>
          <w:b w:val="1"/>
          <w:bCs w:val="1"/>
          <w:color w:val="434343"/>
          <w:sz w:val="22"/>
          <w:szCs w:val="22"/>
        </w:rPr>
      </w:pPr>
      <w:r w:rsidDel="00000000" w:rsidR="00000000" w:rsidRPr="00000000">
        <w:rPr>
          <w:b w:val="1"/>
          <w:bCs w:val="1"/>
          <w:sz w:val="22"/>
          <w:szCs w:val="22"/>
          <w:rtl w:val="0"/>
        </w:rPr>
        <w:t xml:space="preserve">Community perspectives on conservation </w:t>
      </w:r>
      <w:r w:rsidDel="00000000" w:rsidR="00000000" w:rsidRPr="00000000">
        <w:rPr>
          <w:sz w:val="22"/>
          <w:szCs w:val="22"/>
          <w:rtl w:val="0"/>
        </w:rPr>
        <w:t xml:space="preserve">- Projects that center community participation on biodiversity issues, and that promote ocean literacy towards a shared understanding of ocean issues.</w:t>
      </w:r>
      <w:r w:rsidDel="00000000" w:rsidR="00000000" w:rsidRPr="00000000">
        <w:rPr>
          <w:rtl w:val="0"/>
        </w:rPr>
      </w:r>
    </w:p>
    <w:p w:rsidR="00000000" w:rsidDel="00000000" w:rsidP="00000000" w:rsidRDefault="00000000" w:rsidRPr="00000000" w14:paraId="00000027">
      <w:pPr>
        <w:pStyle w:val="Heading2"/>
        <w:shd w:fill="ffffff" w:val="clear"/>
        <w:rPr/>
      </w:pPr>
      <w:bookmarkStart w:colFirst="0" w:colLast="0" w:name="_rbnxjuvh5geu" w:id="7"/>
      <w:bookmarkEnd w:id="7"/>
      <w:r w:rsidDel="00000000" w:rsidR="00000000" w:rsidRPr="00000000">
        <w:rPr>
          <w:rtl w:val="0"/>
        </w:rPr>
        <w:t xml:space="preserve">6. Novel methods, digital infrastructure and AI</w:t>
      </w:r>
    </w:p>
    <w:p w:rsidR="00000000" w:rsidDel="00000000" w:rsidP="00000000" w:rsidRDefault="00000000" w:rsidRPr="00000000" w14:paraId="00000028">
      <w:pPr>
        <w:rPr>
          <w:sz w:val="22"/>
          <w:szCs w:val="22"/>
        </w:rPr>
      </w:pPr>
      <w:r w:rsidDel="00000000" w:rsidR="00000000" w:rsidRPr="00000000">
        <w:rPr>
          <w:sz w:val="22"/>
          <w:szCs w:val="22"/>
          <w:highlight w:val="white"/>
          <w:rtl w:val="0"/>
        </w:rPr>
        <w:t xml:space="preserve">Research in this domain aims to improve the accuracy of GFW algorithms, satellite data analysis, vessel d</w:t>
      </w:r>
      <w:r w:rsidDel="00000000" w:rsidR="00000000" w:rsidRPr="00000000">
        <w:rPr>
          <w:sz w:val="22"/>
          <w:szCs w:val="22"/>
          <w:highlight w:val="white"/>
          <w:rtl w:val="0"/>
        </w:rPr>
        <w:t xml:space="preserve">etection, and data fusion. </w:t>
      </w:r>
      <w:r w:rsidDel="00000000" w:rsidR="00000000" w:rsidRPr="00000000">
        <w:rPr>
          <w:sz w:val="22"/>
          <w:szCs w:val="22"/>
          <w:rtl w:val="0"/>
        </w:rPr>
        <w:t xml:space="preserve">This category also includes research about how GFW data and tools can be utilized in emerging AI toolkits</w:t>
      </w:r>
      <w:r w:rsidDel="00000000" w:rsidR="00000000" w:rsidRPr="00000000">
        <w:rPr>
          <w:sz w:val="22"/>
          <w:szCs w:val="22"/>
          <w:highlight w:val="white"/>
          <w:rtl w:val="0"/>
        </w:rPr>
        <w:t xml:space="preserve">. </w:t>
      </w:r>
      <w:r w:rsidDel="00000000" w:rsidR="00000000" w:rsidRPr="00000000">
        <w:rPr>
          <w:rtl w:val="0"/>
        </w:rPr>
      </w:r>
    </w:p>
    <w:p w:rsidR="00000000" w:rsidDel="00000000" w:rsidP="00000000" w:rsidRDefault="00000000" w:rsidRPr="00000000" w14:paraId="00000029">
      <w:pPr>
        <w:numPr>
          <w:ilvl w:val="0"/>
          <w:numId w:val="2"/>
        </w:numPr>
        <w:shd w:fill="ffffff" w:val="clear"/>
        <w:spacing w:after="0" w:afterAutospacing="0"/>
        <w:ind w:left="720" w:hanging="360"/>
        <w:rPr>
          <w:sz w:val="22"/>
          <w:szCs w:val="22"/>
        </w:rPr>
      </w:pPr>
      <w:r w:rsidDel="00000000" w:rsidR="00000000" w:rsidRPr="00000000">
        <w:rPr>
          <w:b w:val="1"/>
          <w:bCs w:val="1"/>
          <w:sz w:val="22"/>
          <w:szCs w:val="22"/>
          <w:rtl w:val="0"/>
        </w:rPr>
        <w:t xml:space="preserve">Links to other relevant fisheries management units: </w:t>
      </w:r>
      <w:r w:rsidDel="00000000" w:rsidR="00000000" w:rsidRPr="00000000">
        <w:rPr>
          <w:sz w:val="22"/>
          <w:szCs w:val="22"/>
          <w:rtl w:val="0"/>
        </w:rPr>
        <w:t xml:space="preserve">Projects aiming to connect and validate Global Fishing Watch fishing activity data with other relevant </w:t>
      </w:r>
      <w:r w:rsidDel="00000000" w:rsidR="00000000" w:rsidRPr="00000000">
        <w:rPr>
          <w:sz w:val="22"/>
          <w:szCs w:val="22"/>
          <w:rtl w:val="0"/>
        </w:rPr>
        <w:t xml:space="preserve">measures of interest, like catch per unit effort (CPUE).</w:t>
      </w:r>
      <w:r w:rsidDel="00000000" w:rsidR="00000000" w:rsidRPr="00000000">
        <w:rPr>
          <w:rtl w:val="0"/>
        </w:rPr>
      </w:r>
    </w:p>
    <w:p w:rsidR="00000000" w:rsidDel="00000000" w:rsidP="00000000" w:rsidRDefault="00000000" w:rsidRPr="00000000" w14:paraId="0000002A">
      <w:pPr>
        <w:numPr>
          <w:ilvl w:val="0"/>
          <w:numId w:val="2"/>
        </w:numPr>
        <w:shd w:fill="ffffff" w:val="clear"/>
        <w:spacing w:after="0" w:afterAutospacing="0" w:before="0" w:beforeAutospacing="0"/>
        <w:ind w:left="720" w:hanging="360"/>
        <w:rPr>
          <w:sz w:val="22"/>
          <w:szCs w:val="22"/>
          <w:highlight w:val="white"/>
        </w:rPr>
      </w:pPr>
      <w:r w:rsidDel="00000000" w:rsidR="00000000" w:rsidRPr="00000000">
        <w:rPr>
          <w:b w:val="1"/>
          <w:bCs w:val="1"/>
          <w:sz w:val="22"/>
          <w:szCs w:val="22"/>
          <w:rtl w:val="0"/>
        </w:rPr>
        <w:t xml:space="preserve">Data Fusion and Modeling:</w:t>
      </w:r>
      <w:r w:rsidDel="00000000" w:rsidR="00000000" w:rsidRPr="00000000">
        <w:rPr>
          <w:sz w:val="22"/>
          <w:szCs w:val="22"/>
          <w:rtl w:val="0"/>
        </w:rPr>
        <w:t xml:space="preserve"> Developing methods for fusing multi-source satellite data (S1, S2, Planet, NISAR). This also covers adapting general-purpose foundation models to marine-specific imagery and combining their outputs with satellite detections.</w:t>
      </w:r>
      <w:r w:rsidDel="00000000" w:rsidR="00000000" w:rsidRPr="00000000">
        <w:rPr>
          <w:sz w:val="22"/>
          <w:szCs w:val="22"/>
          <w:rtl w:val="0"/>
        </w:rPr>
        <w:t xml:space="preserve"> Feasibility of projects in this line will be assessed against our current licenses and the availability of backend datasets.</w:t>
      </w:r>
      <w:r w:rsidDel="00000000" w:rsidR="00000000" w:rsidRPr="00000000">
        <w:rPr>
          <w:rtl w:val="0"/>
        </w:rPr>
      </w:r>
    </w:p>
    <w:p w:rsidR="00000000" w:rsidDel="00000000" w:rsidP="00000000" w:rsidRDefault="00000000" w:rsidRPr="00000000" w14:paraId="0000002B">
      <w:pPr>
        <w:numPr>
          <w:ilvl w:val="0"/>
          <w:numId w:val="2"/>
        </w:numPr>
        <w:shd w:fill="ffffff" w:val="clear"/>
        <w:spacing w:after="0" w:afterAutospacing="0" w:before="0" w:beforeAutospacing="0"/>
        <w:ind w:left="720" w:hanging="360"/>
        <w:rPr>
          <w:sz w:val="22"/>
          <w:szCs w:val="22"/>
        </w:rPr>
      </w:pPr>
      <w:r w:rsidDel="00000000" w:rsidR="00000000" w:rsidRPr="00000000">
        <w:rPr>
          <w:b w:val="1"/>
          <w:bCs w:val="1"/>
          <w:sz w:val="22"/>
          <w:szCs w:val="22"/>
          <w:rtl w:val="0"/>
        </w:rPr>
        <w:t xml:space="preserve">VIIRS radiance data analysis: </w:t>
      </w:r>
      <w:r w:rsidDel="00000000" w:rsidR="00000000" w:rsidRPr="00000000">
        <w:rPr>
          <w:sz w:val="22"/>
          <w:szCs w:val="22"/>
          <w:rtl w:val="0"/>
        </w:rPr>
        <w:t xml:space="preserve">and how it relates to Global Fishing Watch activity and other sources of validation</w:t>
      </w:r>
    </w:p>
    <w:p w:rsidR="00000000" w:rsidDel="00000000" w:rsidP="00000000" w:rsidRDefault="00000000" w:rsidRPr="00000000" w14:paraId="0000002C">
      <w:pPr>
        <w:numPr>
          <w:ilvl w:val="0"/>
          <w:numId w:val="2"/>
        </w:numPr>
        <w:shd w:fill="ffffff" w:val="clear"/>
        <w:spacing w:before="0" w:beforeAutospacing="0"/>
        <w:ind w:left="720" w:hanging="360"/>
        <w:rPr>
          <w:sz w:val="22"/>
          <w:szCs w:val="22"/>
        </w:rPr>
      </w:pPr>
      <w:r w:rsidDel="00000000" w:rsidR="00000000" w:rsidRPr="00000000">
        <w:rPr>
          <w:b w:val="1"/>
          <w:bCs w:val="1"/>
          <w:sz w:val="22"/>
          <w:szCs w:val="22"/>
          <w:rtl w:val="0"/>
        </w:rPr>
        <w:t xml:space="preserve">Digital Infrastructure and AI: </w:t>
      </w:r>
      <w:r w:rsidDel="00000000" w:rsidR="00000000" w:rsidRPr="00000000">
        <w:rPr>
          <w:sz w:val="22"/>
          <w:szCs w:val="22"/>
          <w:rtl w:val="0"/>
        </w:rPr>
        <w:t xml:space="preserve">Pilots to assess the value of GFW data in AI applications that connect users with our data and tools, potentially drawing on AI chatbots and agentic applications.</w:t>
      </w:r>
      <w:r w:rsidDel="00000000" w:rsidR="00000000" w:rsidRPr="00000000">
        <w:rPr>
          <w:rtl w:val="0"/>
        </w:rPr>
      </w:r>
    </w:p>
    <w:p w:rsidR="00000000" w:rsidDel="00000000" w:rsidP="00000000" w:rsidRDefault="00000000" w:rsidRPr="00000000" w14:paraId="0000002D">
      <w:pPr>
        <w:shd w:fill="ffffff" w:val="clear"/>
        <w:ind w:left="720" w:firstLine="0"/>
        <w:rPr>
          <w:color w:val="1f1f1f"/>
          <w:sz w:val="21"/>
          <w:szCs w:val="21"/>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pStyle w:val="Subtitle"/>
      <w:keepNext w:val="0"/>
      <w:keepLines w:val="0"/>
      <w:spacing w:after="160" w:before="220" w:line="240" w:lineRule="auto"/>
      <w:jc w:val="right"/>
      <w:rPr>
        <w:rFonts w:ascii="Roboto" w:cs="Roboto" w:eastAsia="Roboto" w:hAnsi="Roboto"/>
        <w:color w:val="5a5a5a"/>
        <w:sz w:val="22"/>
        <w:szCs w:val="22"/>
      </w:rPr>
    </w:pPr>
    <w:bookmarkStart w:colFirst="0" w:colLast="0" w:name="_twnr5265ybuf" w:id="8"/>
    <w:bookmarkEnd w:id="8"/>
    <w:r w:rsidDel="00000000" w:rsidR="00000000" w:rsidRPr="00000000">
      <w:rPr>
        <w:rFonts w:ascii="Roboto" w:cs="Roboto" w:eastAsia="Roboto" w:hAnsi="Roboto"/>
        <w:color w:val="5a5a5a"/>
        <w:sz w:val="22"/>
        <w:szCs w:val="22"/>
        <w:rtl w:val="0"/>
      </w:rPr>
      <w:t xml:space="preserve">2026 Open Ocean Research Grant Program</w:t>
      <w:br w:type="textWrapping"/>
      <w:t xml:space="preserve">Global Fishing Watch</w:t>
    </w:r>
  </w:p>
  <w:p w:rsidR="00000000" w:rsidDel="00000000" w:rsidP="00000000" w:rsidRDefault="00000000" w:rsidRPr="00000000" w14:paraId="0000002F">
    <w:pPr>
      <w:spacing w:after="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1f1f1f"/>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color w:val="1f1f1f"/>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Roboto" w:cs="Roboto" w:eastAsia="Roboto" w:hAnsi="Roboto"/>
        <w:color w:val="1f1f1f"/>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Roboto" w:cs="Roboto" w:eastAsia="Roboto" w:hAnsi="Roboto"/>
        <w:color w:val="1f1f1f"/>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color w:val="434343"/>
        <w:lang w:val="en"/>
      </w:rPr>
    </w:rPrDefault>
    <w:pPrDefault>
      <w:pPr>
        <w:spacing w:after="240"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Pr>
    <w:rPr>
      <w:b w:val="1"/>
      <w:bCs w:val="1"/>
      <w:sz w:val="25"/>
      <w:szCs w:val="25"/>
      <w:highlight w:val="white"/>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Bdr>
        <w:bottom w:color="d9d9d9" w:space="4" w:sz="18" w:val="single"/>
      </w:pBdr>
      <w:spacing w:after="400" w:line="240" w:lineRule="auto"/>
    </w:pPr>
    <w:rPr>
      <w:rFonts w:ascii="Roboto" w:cs="Roboto" w:eastAsia="Roboto" w:hAnsi="Roboto"/>
      <w:b w:val="1"/>
      <w:bCs w:val="1"/>
      <w:color w:val="434343"/>
      <w:sz w:val="44"/>
      <w:szCs w:val="44"/>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